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57617" w14:textId="77777777" w:rsidR="00014C1A" w:rsidRDefault="00003B0B">
      <w:pPr>
        <w:ind w:firstLine="426"/>
        <w:jc w:val="right"/>
      </w:pPr>
      <w:r>
        <w:t>«УТВЕРЖДЕНА»</w:t>
      </w:r>
    </w:p>
    <w:p w14:paraId="68DFFD89" w14:textId="05D15533" w:rsidR="00014C1A" w:rsidRDefault="00117133" w:rsidP="00FA1C49">
      <w:pPr>
        <w:tabs>
          <w:tab w:val="left" w:pos="5599"/>
          <w:tab w:val="right" w:pos="9355"/>
        </w:tabs>
        <w:ind w:firstLine="426"/>
      </w:pPr>
      <w:r>
        <w:tab/>
      </w:r>
      <w:r>
        <w:tab/>
      </w:r>
      <w:r w:rsidR="00003B0B">
        <w:t>решением Совета директоров</w:t>
      </w:r>
    </w:p>
    <w:p w14:paraId="740E5EE9" w14:textId="77777777" w:rsidR="00014C1A" w:rsidRDefault="00003B0B">
      <w:pPr>
        <w:ind w:firstLine="426"/>
        <w:jc w:val="right"/>
      </w:pPr>
      <w:r>
        <w:t>АО «Фонд развития</w:t>
      </w:r>
    </w:p>
    <w:p w14:paraId="665C114B" w14:textId="77777777" w:rsidR="00014C1A" w:rsidRDefault="00003B0B">
      <w:pPr>
        <w:ind w:firstLine="426"/>
        <w:jc w:val="right"/>
      </w:pPr>
      <w:r>
        <w:t>предпринимательства «Даму»</w:t>
      </w:r>
    </w:p>
    <w:p w14:paraId="751065CD" w14:textId="77777777" w:rsidR="00014C1A" w:rsidRDefault="00003B0B">
      <w:pPr>
        <w:ind w:firstLine="426"/>
        <w:jc w:val="right"/>
      </w:pPr>
      <w:r>
        <w:t> </w:t>
      </w:r>
    </w:p>
    <w:p w14:paraId="111E5778" w14:textId="77777777" w:rsidR="00014C1A" w:rsidRDefault="00003B0B">
      <w:pPr>
        <w:ind w:firstLine="426"/>
        <w:jc w:val="right"/>
      </w:pPr>
      <w:r>
        <w:t xml:space="preserve">Приложение № 5 </w:t>
      </w:r>
    </w:p>
    <w:p w14:paraId="540E62F2" w14:textId="77777777" w:rsidR="00014C1A" w:rsidRDefault="00003B0B">
      <w:pPr>
        <w:ind w:firstLine="426"/>
        <w:jc w:val="right"/>
      </w:pPr>
      <w:r>
        <w:t xml:space="preserve">к </w:t>
      </w:r>
      <w:hyperlink r:id="rId8" w:history="1">
        <w:r>
          <w:rPr>
            <w:rStyle w:val="a5"/>
          </w:rPr>
          <w:t>протоколу</w:t>
        </w:r>
      </w:hyperlink>
      <w:r>
        <w:t xml:space="preserve"> заседания</w:t>
      </w:r>
    </w:p>
    <w:p w14:paraId="46F6BB46" w14:textId="77777777" w:rsidR="00014C1A" w:rsidRDefault="00003B0B">
      <w:pPr>
        <w:ind w:firstLine="426"/>
        <w:jc w:val="right"/>
      </w:pPr>
      <w:r>
        <w:t>Совета директоров</w:t>
      </w:r>
    </w:p>
    <w:p w14:paraId="027B52B6" w14:textId="77777777" w:rsidR="00014C1A" w:rsidRDefault="00003B0B">
      <w:pPr>
        <w:ind w:firstLine="426"/>
        <w:jc w:val="right"/>
      </w:pPr>
      <w:r>
        <w:t>АО «Фонд развития</w:t>
      </w:r>
    </w:p>
    <w:p w14:paraId="5020C145" w14:textId="77777777" w:rsidR="00014C1A" w:rsidRDefault="00003B0B">
      <w:pPr>
        <w:ind w:firstLine="426"/>
        <w:jc w:val="right"/>
      </w:pPr>
      <w:r>
        <w:t>предпринимательства «Даму»</w:t>
      </w:r>
    </w:p>
    <w:p w14:paraId="13A353E8" w14:textId="77777777" w:rsidR="00014C1A" w:rsidRDefault="00003B0B">
      <w:pPr>
        <w:ind w:firstLine="426"/>
        <w:jc w:val="right"/>
      </w:pPr>
      <w:r>
        <w:t>от 3 июля 2017 г., № 80</w:t>
      </w:r>
    </w:p>
    <w:p w14:paraId="7BD69B9B" w14:textId="77777777" w:rsidR="00014C1A" w:rsidRDefault="00003B0B">
      <w:pPr>
        <w:ind w:firstLine="426"/>
        <w:jc w:val="right"/>
      </w:pPr>
      <w:r>
        <w:t> </w:t>
      </w:r>
    </w:p>
    <w:p w14:paraId="731C8F94" w14:textId="77777777" w:rsidR="00014C1A" w:rsidRDefault="00003B0B">
      <w:pPr>
        <w:ind w:firstLine="426"/>
        <w:jc w:val="right"/>
      </w:pPr>
      <w:r>
        <w:t> </w:t>
      </w:r>
    </w:p>
    <w:p w14:paraId="29BD0DCA" w14:textId="3BCAD9D7" w:rsidR="00014C1A" w:rsidRDefault="00003B0B">
      <w:pPr>
        <w:jc w:val="center"/>
        <w:rPr>
          <w:rStyle w:val="s1"/>
        </w:rPr>
      </w:pPr>
      <w:r>
        <w:rPr>
          <w:rStyle w:val="s1"/>
        </w:rPr>
        <w:t>Стратегия развития акционерного общества</w:t>
      </w:r>
      <w:r>
        <w:rPr>
          <w:rStyle w:val="s1"/>
        </w:rPr>
        <w:br/>
        <w:t>«Фонд развития предпринимательства «Даму»</w:t>
      </w:r>
      <w:r>
        <w:rPr>
          <w:rStyle w:val="s1"/>
        </w:rPr>
        <w:br/>
        <w:t>на 2014-2023 годы</w:t>
      </w:r>
    </w:p>
    <w:p w14:paraId="7013D868" w14:textId="4512C00B" w:rsidR="00CF1021" w:rsidRPr="00CF1021" w:rsidRDefault="00CF1021">
      <w:pPr>
        <w:jc w:val="center"/>
        <w:rPr>
          <w:b/>
          <w:i/>
          <w:color w:val="FF0000"/>
        </w:rPr>
      </w:pPr>
      <w:r w:rsidRPr="00CF1021">
        <w:rPr>
          <w:rStyle w:val="s1"/>
          <w:b w:val="0"/>
          <w:i/>
          <w:color w:val="FF0000"/>
        </w:rPr>
        <w:t>(с изменениями и дополнениями по состоянию на 14.07.2022 г.)</w:t>
      </w:r>
    </w:p>
    <w:p w14:paraId="674B8374" w14:textId="77777777" w:rsidR="00014C1A" w:rsidRDefault="00003B0B">
      <w:pPr>
        <w:jc w:val="center"/>
      </w:pPr>
      <w:r>
        <w:rPr>
          <w:rStyle w:val="s1"/>
        </w:rPr>
        <w:t> </w:t>
      </w:r>
    </w:p>
    <w:p w14:paraId="56FED66D" w14:textId="77777777" w:rsidR="00014C1A" w:rsidRDefault="00003B0B">
      <w:pPr>
        <w:jc w:val="center"/>
      </w:pPr>
      <w:bookmarkStart w:id="0" w:name="ContentStart"/>
      <w:bookmarkEnd w:id="0"/>
      <w:r>
        <w:rPr>
          <w:rStyle w:val="s1"/>
        </w:rPr>
        <w:t>СОДЕРЖАНИЕ</w:t>
      </w:r>
      <w:bookmarkStart w:id="1" w:name="_GoBack"/>
      <w:bookmarkEnd w:id="1"/>
    </w:p>
    <w:p w14:paraId="0974F2E9" w14:textId="77777777" w:rsidR="00014C1A" w:rsidRDefault="00003B0B">
      <w:r>
        <w:t> </w:t>
      </w:r>
    </w:p>
    <w:p w14:paraId="669789EB" w14:textId="77777777" w:rsidR="00014C1A" w:rsidRDefault="00E71A2C">
      <w:pPr>
        <w:ind w:firstLine="426"/>
        <w:jc w:val="both"/>
      </w:pPr>
      <w:hyperlink w:anchor="sub10" w:history="1">
        <w:r w:rsidR="00003B0B">
          <w:rPr>
            <w:rStyle w:val="a5"/>
          </w:rPr>
          <w:t>Введение</w:t>
        </w:r>
      </w:hyperlink>
    </w:p>
    <w:p w14:paraId="5E92DBD4" w14:textId="77777777" w:rsidR="00014C1A" w:rsidRDefault="00E71A2C">
      <w:pPr>
        <w:ind w:firstLine="426"/>
        <w:jc w:val="both"/>
      </w:pPr>
      <w:hyperlink w:anchor="sub100" w:history="1">
        <w:r w:rsidR="00003B0B">
          <w:rPr>
            <w:rStyle w:val="a5"/>
          </w:rPr>
          <w:t>1. Анализ текущей ситуации</w:t>
        </w:r>
      </w:hyperlink>
    </w:p>
    <w:p w14:paraId="43083D97" w14:textId="77777777" w:rsidR="00014C1A" w:rsidRDefault="00E71A2C">
      <w:pPr>
        <w:ind w:firstLine="426"/>
        <w:jc w:val="both"/>
      </w:pPr>
      <w:hyperlink w:anchor="sub10100" w:history="1">
        <w:r w:rsidR="00003B0B">
          <w:rPr>
            <w:rStyle w:val="a5"/>
          </w:rPr>
          <w:t>1.1. Анализ внешней среды</w:t>
        </w:r>
      </w:hyperlink>
    </w:p>
    <w:p w14:paraId="2E2FA113" w14:textId="77777777" w:rsidR="00014C1A" w:rsidRDefault="00E71A2C">
      <w:pPr>
        <w:ind w:firstLine="426"/>
        <w:jc w:val="both"/>
      </w:pPr>
      <w:hyperlink w:anchor="sub10200" w:history="1">
        <w:r w:rsidR="00003B0B">
          <w:rPr>
            <w:rStyle w:val="a5"/>
          </w:rPr>
          <w:t xml:space="preserve">1.2. </w:t>
        </w:r>
        <w:r w:rsidR="00003B0B">
          <w:rPr>
            <w:rStyle w:val="a5"/>
            <w:lang w:val="en-US"/>
          </w:rPr>
          <w:t>PEST</w:t>
        </w:r>
        <w:r w:rsidR="00003B0B">
          <w:rPr>
            <w:rStyle w:val="a5"/>
          </w:rPr>
          <w:t>-анализ</w:t>
        </w:r>
      </w:hyperlink>
    </w:p>
    <w:p w14:paraId="744319DC" w14:textId="77777777" w:rsidR="00014C1A" w:rsidRDefault="00E71A2C">
      <w:pPr>
        <w:ind w:firstLine="426"/>
        <w:jc w:val="both"/>
      </w:pPr>
      <w:hyperlink w:anchor="sub10300" w:history="1">
        <w:r w:rsidR="00003B0B">
          <w:rPr>
            <w:rStyle w:val="a5"/>
          </w:rPr>
          <w:t>1.3. Основные направления государственной экономической политики по поддержке предпринимательства</w:t>
        </w:r>
      </w:hyperlink>
    </w:p>
    <w:p w14:paraId="4D440375" w14:textId="77777777" w:rsidR="00014C1A" w:rsidRDefault="00E71A2C">
      <w:pPr>
        <w:ind w:firstLine="426"/>
        <w:jc w:val="both"/>
      </w:pPr>
      <w:hyperlink w:anchor="sub10400" w:history="1">
        <w:r w:rsidR="00003B0B">
          <w:rPr>
            <w:rStyle w:val="a5"/>
          </w:rPr>
          <w:t>1.4. Анализ внутренней среды</w:t>
        </w:r>
      </w:hyperlink>
    </w:p>
    <w:p w14:paraId="45458721" w14:textId="77777777" w:rsidR="00014C1A" w:rsidRDefault="00E71A2C">
      <w:pPr>
        <w:ind w:firstLine="426"/>
        <w:jc w:val="both"/>
      </w:pPr>
      <w:hyperlink w:anchor="sub1040100" w:history="1">
        <w:r w:rsidR="00003B0B">
          <w:rPr>
            <w:rStyle w:val="a5"/>
          </w:rPr>
          <w:t>1.4.1 Результаты основных направлений деятельности</w:t>
        </w:r>
      </w:hyperlink>
    </w:p>
    <w:p w14:paraId="175DDED9" w14:textId="77777777" w:rsidR="00014C1A" w:rsidRDefault="00E71A2C">
      <w:pPr>
        <w:ind w:firstLine="426"/>
        <w:jc w:val="both"/>
      </w:pPr>
      <w:hyperlink w:anchor="sub1040200" w:history="1">
        <w:r w:rsidR="00003B0B">
          <w:rPr>
            <w:rStyle w:val="a5"/>
          </w:rPr>
          <w:t>1.4.2 Финансовое положение Фонда</w:t>
        </w:r>
      </w:hyperlink>
    </w:p>
    <w:p w14:paraId="073AE6DA" w14:textId="091A8CA8" w:rsidR="00014C1A" w:rsidRPr="00311A1C" w:rsidRDefault="00E71A2C">
      <w:pPr>
        <w:ind w:firstLine="426"/>
        <w:jc w:val="both"/>
        <w:rPr>
          <w:rStyle w:val="a5"/>
        </w:rPr>
      </w:pPr>
      <w:hyperlink w:anchor="sub1040300" w:history="1">
        <w:r w:rsidR="00003B0B">
          <w:rPr>
            <w:rStyle w:val="a5"/>
          </w:rPr>
          <w:t>1.4.3 Анализ исполнения показателей КПД</w:t>
        </w:r>
      </w:hyperlink>
      <w:r w:rsidR="00112981">
        <w:rPr>
          <w:rStyle w:val="a5"/>
        </w:rPr>
        <w:t xml:space="preserve"> </w:t>
      </w:r>
      <w:r w:rsidR="00112981" w:rsidRPr="00311A1C">
        <w:rPr>
          <w:rStyle w:val="a5"/>
        </w:rPr>
        <w:t>Стратегии развития Фонда</w:t>
      </w:r>
    </w:p>
    <w:p w14:paraId="79B6FFA0" w14:textId="77777777" w:rsidR="00014C1A" w:rsidRDefault="00E71A2C">
      <w:pPr>
        <w:ind w:firstLine="426"/>
        <w:jc w:val="both"/>
      </w:pPr>
      <w:hyperlink w:anchor="sub10500" w:history="1">
        <w:r w:rsidR="00003B0B">
          <w:rPr>
            <w:rStyle w:val="a5"/>
          </w:rPr>
          <w:t xml:space="preserve">1.5. </w:t>
        </w:r>
        <w:r w:rsidR="00003B0B">
          <w:rPr>
            <w:rStyle w:val="a5"/>
            <w:lang w:val="en-US"/>
          </w:rPr>
          <w:t>SWOT</w:t>
        </w:r>
        <w:r w:rsidR="00003B0B">
          <w:rPr>
            <w:rStyle w:val="a5"/>
          </w:rPr>
          <w:t>-анализ</w:t>
        </w:r>
      </w:hyperlink>
    </w:p>
    <w:p w14:paraId="7C79936F" w14:textId="77777777" w:rsidR="00014C1A" w:rsidRDefault="00E71A2C">
      <w:pPr>
        <w:ind w:firstLine="426"/>
        <w:jc w:val="both"/>
      </w:pPr>
      <w:hyperlink w:anchor="sub10600" w:history="1">
        <w:r w:rsidR="00003B0B">
          <w:rPr>
            <w:rStyle w:val="a5"/>
          </w:rPr>
          <w:t>1.6. Бенчмаркинг</w:t>
        </w:r>
      </w:hyperlink>
    </w:p>
    <w:p w14:paraId="5F1A0255" w14:textId="77777777" w:rsidR="00014C1A" w:rsidRDefault="00E71A2C">
      <w:pPr>
        <w:ind w:firstLine="426"/>
        <w:jc w:val="both"/>
      </w:pPr>
      <w:hyperlink w:anchor="sub200" w:history="1">
        <w:r w:rsidR="00003B0B">
          <w:rPr>
            <w:rStyle w:val="a5"/>
          </w:rPr>
          <w:t>2. Миссия, видение</w:t>
        </w:r>
      </w:hyperlink>
    </w:p>
    <w:p w14:paraId="03D85E36" w14:textId="77777777" w:rsidR="00014C1A" w:rsidRDefault="00E71A2C">
      <w:pPr>
        <w:ind w:firstLine="426"/>
        <w:jc w:val="both"/>
      </w:pPr>
      <w:hyperlink w:anchor="sub300" w:history="1">
        <w:r w:rsidR="00003B0B">
          <w:rPr>
            <w:rStyle w:val="a5"/>
          </w:rPr>
          <w:t>3. Стратегические направления развития Фонда</w:t>
        </w:r>
      </w:hyperlink>
    </w:p>
    <w:p w14:paraId="1EA2DD3D" w14:textId="77777777" w:rsidR="00014C1A" w:rsidRDefault="00E71A2C">
      <w:pPr>
        <w:ind w:firstLine="426"/>
        <w:jc w:val="both"/>
      </w:pPr>
      <w:hyperlink w:anchor="sub30100" w:history="1">
        <w:r w:rsidR="00003B0B">
          <w:rPr>
            <w:rStyle w:val="a5"/>
          </w:rPr>
          <w:t>3.1. Поддержка и развитие начинающих и действующих предпринимателей</w:t>
        </w:r>
      </w:hyperlink>
    </w:p>
    <w:p w14:paraId="690E39A9" w14:textId="77777777" w:rsidR="00014C1A" w:rsidRDefault="00E71A2C">
      <w:pPr>
        <w:ind w:firstLine="426"/>
        <w:jc w:val="both"/>
      </w:pPr>
      <w:hyperlink w:anchor="sub3010100" w:history="1">
        <w:r w:rsidR="00003B0B">
          <w:rPr>
            <w:rStyle w:val="a5"/>
          </w:rPr>
          <w:t>3.1.1. Расширение кредитования микро-бизнеса, разработка и реализация инструментов поддержки МФО и кредитных товариществ</w:t>
        </w:r>
      </w:hyperlink>
    </w:p>
    <w:p w14:paraId="61C6F3B1" w14:textId="77777777" w:rsidR="00014C1A" w:rsidRDefault="00E71A2C">
      <w:pPr>
        <w:ind w:firstLine="426"/>
        <w:jc w:val="both"/>
      </w:pPr>
      <w:hyperlink w:anchor="sub3010200" w:history="1">
        <w:r w:rsidR="00003B0B">
          <w:rPr>
            <w:rStyle w:val="a5"/>
          </w:rPr>
          <w:t>3.1.2. Увеличение доли охвата действующих ММСП финансовыми программами Фонда</w:t>
        </w:r>
      </w:hyperlink>
    </w:p>
    <w:p w14:paraId="287FAB56" w14:textId="77777777" w:rsidR="00014C1A" w:rsidRDefault="00E71A2C">
      <w:pPr>
        <w:ind w:firstLine="426"/>
        <w:jc w:val="both"/>
      </w:pPr>
      <w:hyperlink w:anchor="sub3010300" w:history="1">
        <w:r w:rsidR="00003B0B">
          <w:rPr>
            <w:rStyle w:val="a5"/>
          </w:rPr>
          <w:t>3.1.3. Обеспечение повышения экономической эффективности поддерживаемых предприятий ММСП</w:t>
        </w:r>
      </w:hyperlink>
    </w:p>
    <w:p w14:paraId="44DCDA82" w14:textId="77777777" w:rsidR="00014C1A" w:rsidRDefault="00E71A2C">
      <w:pPr>
        <w:ind w:firstLine="426"/>
        <w:jc w:val="both"/>
      </w:pPr>
      <w:hyperlink w:anchor="sub30200" w:history="1">
        <w:r w:rsidR="00003B0B">
          <w:rPr>
            <w:rStyle w:val="a5"/>
          </w:rPr>
          <w:t>3.2. Устойчивое институциональное развитие Фонда</w:t>
        </w:r>
      </w:hyperlink>
    </w:p>
    <w:p w14:paraId="67B78604" w14:textId="77777777" w:rsidR="00014C1A" w:rsidRDefault="00E71A2C">
      <w:pPr>
        <w:ind w:firstLine="426"/>
        <w:jc w:val="both"/>
      </w:pPr>
      <w:hyperlink w:anchor="sub3020100" w:history="1">
        <w:r w:rsidR="00003B0B">
          <w:rPr>
            <w:rStyle w:val="a5"/>
          </w:rPr>
          <w:t>3.2.1. Привлечение дополнительных источников финансирования</w:t>
        </w:r>
      </w:hyperlink>
    </w:p>
    <w:p w14:paraId="069D2AA9" w14:textId="77777777" w:rsidR="00014C1A" w:rsidRDefault="00E71A2C">
      <w:pPr>
        <w:ind w:firstLine="426"/>
        <w:jc w:val="both"/>
      </w:pPr>
      <w:hyperlink w:anchor="sub3020200" w:history="1">
        <w:r w:rsidR="00003B0B">
          <w:rPr>
            <w:rStyle w:val="a5"/>
          </w:rPr>
          <w:t>3.2.2. Достижение запланированного уровня финансовых результатов деятельности</w:t>
        </w:r>
      </w:hyperlink>
    </w:p>
    <w:p w14:paraId="567A5BC0" w14:textId="77777777" w:rsidR="00014C1A" w:rsidRDefault="00E71A2C">
      <w:pPr>
        <w:ind w:firstLine="426"/>
        <w:jc w:val="both"/>
      </w:pPr>
      <w:hyperlink w:anchor="sub3020300" w:history="1">
        <w:r w:rsidR="00003B0B">
          <w:rPr>
            <w:rStyle w:val="a5"/>
          </w:rPr>
          <w:t>3.2.3. Автоматизация бизнес процессов</w:t>
        </w:r>
      </w:hyperlink>
    </w:p>
    <w:p w14:paraId="2F1EC418" w14:textId="77777777" w:rsidR="00014C1A" w:rsidRDefault="00E71A2C">
      <w:pPr>
        <w:ind w:firstLine="426"/>
        <w:jc w:val="both"/>
      </w:pPr>
      <w:hyperlink w:anchor="sub3020400" w:history="1">
        <w:r w:rsidR="00003B0B">
          <w:rPr>
            <w:rStyle w:val="a5"/>
          </w:rPr>
          <w:t>3.2.4. Повышение уровня корпоративного управления</w:t>
        </w:r>
      </w:hyperlink>
    </w:p>
    <w:p w14:paraId="4A55A369" w14:textId="77777777" w:rsidR="00014C1A" w:rsidRDefault="00E71A2C">
      <w:pPr>
        <w:ind w:firstLine="426"/>
        <w:jc w:val="both"/>
      </w:pPr>
      <w:hyperlink w:anchor="sub400" w:history="1">
        <w:r w:rsidR="00003B0B">
          <w:rPr>
            <w:rStyle w:val="a5"/>
          </w:rPr>
          <w:t xml:space="preserve">4. Ожидаемые результаты </w:t>
        </w:r>
      </w:hyperlink>
    </w:p>
    <w:p w14:paraId="526AD30D" w14:textId="77777777" w:rsidR="00014C1A" w:rsidRDefault="00E71A2C">
      <w:pPr>
        <w:ind w:firstLine="426"/>
        <w:jc w:val="both"/>
      </w:pPr>
      <w:hyperlink w:anchor="sub20" w:history="1">
        <w:r w:rsidR="00003B0B">
          <w:rPr>
            <w:rStyle w:val="a5"/>
          </w:rPr>
          <w:t>Заключение</w:t>
        </w:r>
      </w:hyperlink>
    </w:p>
    <w:p w14:paraId="25510BE1" w14:textId="77777777" w:rsidR="00014C1A" w:rsidRDefault="00003B0B">
      <w:pPr>
        <w:ind w:firstLine="426"/>
        <w:jc w:val="both"/>
      </w:pPr>
      <w:bookmarkStart w:id="2" w:name="ContentEnd"/>
      <w:bookmarkEnd w:id="2"/>
      <w:r>
        <w:t> </w:t>
      </w:r>
    </w:p>
    <w:p w14:paraId="04C329F0" w14:textId="77777777" w:rsidR="000716D0" w:rsidRDefault="000716D0">
      <w:pPr>
        <w:ind w:firstLine="426"/>
        <w:jc w:val="center"/>
        <w:rPr>
          <w:b/>
          <w:bCs/>
        </w:rPr>
      </w:pPr>
    </w:p>
    <w:p w14:paraId="4E2C8A0B" w14:textId="77777777" w:rsidR="000716D0" w:rsidRDefault="000716D0">
      <w:pPr>
        <w:ind w:firstLine="426"/>
        <w:jc w:val="center"/>
        <w:rPr>
          <w:b/>
          <w:bCs/>
        </w:rPr>
      </w:pPr>
    </w:p>
    <w:p w14:paraId="31417CF3" w14:textId="77777777" w:rsidR="00014C1A" w:rsidRDefault="00003B0B">
      <w:pPr>
        <w:ind w:firstLine="426"/>
        <w:jc w:val="center"/>
      </w:pPr>
      <w:r>
        <w:rPr>
          <w:b/>
          <w:bCs/>
        </w:rPr>
        <w:t> </w:t>
      </w:r>
    </w:p>
    <w:p w14:paraId="38633152" w14:textId="77777777" w:rsidR="00014C1A" w:rsidRDefault="00003B0B">
      <w:pPr>
        <w:jc w:val="center"/>
      </w:pPr>
      <w:bookmarkStart w:id="3" w:name="SUB10"/>
      <w:bookmarkEnd w:id="3"/>
      <w:r>
        <w:rPr>
          <w:rStyle w:val="s1"/>
        </w:rPr>
        <w:lastRenderedPageBreak/>
        <w:t>Введение</w:t>
      </w:r>
    </w:p>
    <w:p w14:paraId="5067F5B9" w14:textId="77777777" w:rsidR="00014C1A" w:rsidRDefault="00003B0B">
      <w:pPr>
        <w:jc w:val="center"/>
      </w:pPr>
      <w:r>
        <w:t> </w:t>
      </w:r>
    </w:p>
    <w:p w14:paraId="3F4A995E" w14:textId="77777777" w:rsidR="00014C1A" w:rsidRDefault="00003B0B">
      <w:pPr>
        <w:ind w:firstLine="426"/>
        <w:jc w:val="both"/>
      </w:pPr>
      <w:r>
        <w:t xml:space="preserve">Акционерное общество «Фонд развития предпринимательства «Даму» (далее - Фонд, Фонд «Даму») создан на основании </w:t>
      </w:r>
      <w:hyperlink r:id="rId9" w:history="1">
        <w:r>
          <w:rPr>
            <w:rStyle w:val="a5"/>
          </w:rPr>
          <w:t>постановления</w:t>
        </w:r>
      </w:hyperlink>
      <w:r>
        <w:t xml:space="preserve"> Правительства Республики Казахстан от 26 апреля 1997 года № 665 «О создании Фонда развития малого предпринимательства».</w:t>
      </w:r>
    </w:p>
    <w:p w14:paraId="2BEA78DA" w14:textId="77777777" w:rsidR="00014C1A" w:rsidRDefault="00003B0B">
      <w:pPr>
        <w:ind w:firstLine="426"/>
        <w:jc w:val="both"/>
      </w:pPr>
      <w:r>
        <w:t xml:space="preserve">В соответствии с </w:t>
      </w:r>
      <w:hyperlink r:id="rId10" w:history="1">
        <w:r>
          <w:rPr>
            <w:rStyle w:val="a5"/>
          </w:rPr>
          <w:t>Указом</w:t>
        </w:r>
      </w:hyperlink>
      <w:r>
        <w:t xml:space="preserve"> Президента Республики Казахстан «О некоторых мерах по оптимизации системы управления институтами развития, финансовыми организациями и развития национальной экономики» № 571 от 22 мая 2013 года, Единственным акционером Фонда «Даму» является АО «Национальный управляющий холдинг «Байтерек» (далее - АО «НУХ «Байтерек», Холдинг).</w:t>
      </w:r>
    </w:p>
    <w:p w14:paraId="5D2B0488" w14:textId="23E3D8DA" w:rsidR="00014C1A" w:rsidRDefault="007147D2">
      <w:pPr>
        <w:ind w:firstLine="426"/>
        <w:jc w:val="both"/>
      </w:pPr>
      <w:r>
        <w:rPr>
          <w:rStyle w:val="s0"/>
        </w:rPr>
        <w:t xml:space="preserve">Стратегия развития </w:t>
      </w:r>
      <w:r>
        <w:t>Фонда «Даму»</w:t>
      </w:r>
      <w:r>
        <w:rPr>
          <w:rStyle w:val="s0"/>
        </w:rPr>
        <w:t xml:space="preserve"> на 2014 – 2023 годы (далее – Стратегия, </w:t>
      </w:r>
      <w:r>
        <w:t>Стратегия развития</w:t>
      </w:r>
      <w:r>
        <w:rPr>
          <w:rStyle w:val="s0"/>
        </w:rPr>
        <w:t xml:space="preserve">) утверждена решением Совета директоров Фонда от 04 июля 2014 года №52. </w:t>
      </w:r>
      <w:r w:rsidR="007C286C">
        <w:t>Первая а</w:t>
      </w:r>
      <w:r w:rsidR="00003B0B">
        <w:t xml:space="preserve">ктуализация </w:t>
      </w:r>
      <w:hyperlink r:id="rId11" w:anchor="sub_id=100" w:history="1">
        <w:r w:rsidR="00003B0B">
          <w:rPr>
            <w:rStyle w:val="a5"/>
          </w:rPr>
          <w:t>Стратегии</w:t>
        </w:r>
      </w:hyperlink>
      <w:r w:rsidR="00003B0B">
        <w:t xml:space="preserve"> развития проведена в 2017 году в связи с актуализацией Стратегии развития АО «НУХ «Байтерек», с изменениями в государственных программах, в реализации которых участвует Фонд, а также в соответствии со значимыми социально-экономическими событиями</w:t>
      </w:r>
      <w:r w:rsidR="001D24B4">
        <w:t>.</w:t>
      </w:r>
    </w:p>
    <w:p w14:paraId="5659BE3B" w14:textId="77777777" w:rsidR="001D24B4" w:rsidRDefault="001D24B4">
      <w:pPr>
        <w:ind w:firstLine="426"/>
        <w:jc w:val="both"/>
        <w:rPr>
          <w:rStyle w:val="s0"/>
        </w:rPr>
      </w:pPr>
      <w:r>
        <w:t>Актуализация в 2022 году проведена в связи с актуализацией Стратегии развития АО «НУХ «Байтерек»,</w:t>
      </w:r>
      <w:r w:rsidRPr="007C286C">
        <w:t xml:space="preserve"> </w:t>
      </w:r>
      <w:r>
        <w:t xml:space="preserve">которая </w:t>
      </w:r>
      <w:r>
        <w:rPr>
          <w:rStyle w:val="s0"/>
        </w:rPr>
        <w:t>продиктована посланиями Президента Республики Казахстан о положении в стране и основных направлениях внутренней и внешней политики, изменением, внесенным в документы системы государственного планирования, а также изменением внутренней и внешней среды, имеющим существенный эффект на деятельность АО «НУХ «Байтерек» и Фонда:</w:t>
      </w:r>
    </w:p>
    <w:p w14:paraId="4BE3BBB1" w14:textId="77777777" w:rsidR="001D24B4" w:rsidRDefault="001D24B4" w:rsidP="001D24B4">
      <w:pPr>
        <w:pStyle w:val="pj"/>
      </w:pPr>
      <w:r>
        <w:rPr>
          <w:rStyle w:val="s0"/>
        </w:rPr>
        <w:t>1) ожидание снижения темпов роста мировой экономики, в особенности развивающихся рынков, по ряду причин: пандемия; нестабильность цен на энергоресурсы; обострение санкций, что оказывает давление на регион и национальные валюты;</w:t>
      </w:r>
    </w:p>
    <w:p w14:paraId="7AA46278" w14:textId="77777777" w:rsidR="001D24B4" w:rsidRDefault="001D24B4" w:rsidP="001D24B4">
      <w:pPr>
        <w:ind w:firstLine="426"/>
        <w:jc w:val="both"/>
      </w:pPr>
      <w:r>
        <w:rPr>
          <w:rStyle w:val="s0"/>
        </w:rPr>
        <w:t>2) пять глобальных мегатрендов, озвученных Главой Государства на Астанинском экономическом форуме в 2018 году;</w:t>
      </w:r>
    </w:p>
    <w:p w14:paraId="0F628863" w14:textId="54BFEC7B" w:rsidR="00014C1A" w:rsidRDefault="001D24B4">
      <w:pPr>
        <w:ind w:firstLine="426"/>
        <w:jc w:val="both"/>
      </w:pPr>
      <w:r>
        <w:t>3)</w:t>
      </w:r>
      <w:r w:rsidR="00003B0B">
        <w:t xml:space="preserve"> участие в реализации </w:t>
      </w:r>
      <w:r>
        <w:t>п</w:t>
      </w:r>
      <w:r w:rsidR="00003B0B">
        <w:t>осланий Главы государства, государственных</w:t>
      </w:r>
      <w:r w:rsidR="00F93CEC">
        <w:t>,</w:t>
      </w:r>
      <w:r w:rsidR="00003B0B">
        <w:t xml:space="preserve"> правительственных программах</w:t>
      </w:r>
      <w:r w:rsidR="0081561C">
        <w:t>, концепциях</w:t>
      </w:r>
      <w:r w:rsidR="00F93CEC">
        <w:t xml:space="preserve"> и </w:t>
      </w:r>
      <w:r w:rsidR="00F93CEC">
        <w:rPr>
          <w:rStyle w:val="s0"/>
        </w:rPr>
        <w:t>национальных проектов</w:t>
      </w:r>
      <w:r w:rsidR="00086E5E">
        <w:t>:</w:t>
      </w:r>
    </w:p>
    <w:p w14:paraId="5216FBEE" w14:textId="6DBE1E61" w:rsidR="00014C1A" w:rsidRDefault="00086E5E">
      <w:pPr>
        <w:ind w:firstLine="426"/>
        <w:jc w:val="both"/>
      </w:pPr>
      <w:r>
        <w:t>3.1</w:t>
      </w:r>
      <w:r w:rsidR="00003B0B">
        <w:t xml:space="preserve">) </w:t>
      </w:r>
      <w:r w:rsidR="001D24B4">
        <w:rPr>
          <w:rStyle w:val="s0"/>
        </w:rPr>
        <w:t xml:space="preserve">Национальный план развития </w:t>
      </w:r>
      <w:r w:rsidR="00003B0B">
        <w:t xml:space="preserve">Республики Казахстан </w:t>
      </w:r>
      <w:r w:rsidR="001D24B4">
        <w:t>до</w:t>
      </w:r>
      <w:r w:rsidR="00003B0B">
        <w:t xml:space="preserve"> 20</w:t>
      </w:r>
      <w:r w:rsidR="001D24B4">
        <w:t>2</w:t>
      </w:r>
      <w:r w:rsidR="00003B0B">
        <w:t xml:space="preserve">5 года </w:t>
      </w:r>
      <w:r w:rsidR="001D24B4">
        <w:rPr>
          <w:rStyle w:val="s0"/>
        </w:rPr>
        <w:t>от 15 февраля 2018 года</w:t>
      </w:r>
      <w:r w:rsidR="00003B0B">
        <w:t>;</w:t>
      </w:r>
    </w:p>
    <w:p w14:paraId="56CBBB9E" w14:textId="582152C5" w:rsidR="00014C1A" w:rsidRDefault="00086E5E">
      <w:pPr>
        <w:ind w:firstLine="426"/>
        <w:jc w:val="both"/>
      </w:pPr>
      <w:r>
        <w:t>3.2</w:t>
      </w:r>
      <w:r w:rsidR="00003B0B">
        <w:t xml:space="preserve">) </w:t>
      </w:r>
      <w:hyperlink r:id="rId12" w:history="1">
        <w:r w:rsidR="00003B0B" w:rsidRPr="00FA1C49">
          <w:t>Послание</w:t>
        </w:r>
      </w:hyperlink>
      <w:r w:rsidR="00003B0B">
        <w:t xml:space="preserve"> Главы государства от 31 января 2017 года «Третья модернизация Казахстана: глобальная конкурентоспособность»;</w:t>
      </w:r>
    </w:p>
    <w:p w14:paraId="60E9744A" w14:textId="0619E629" w:rsidR="00F93CEC" w:rsidRDefault="00086E5E" w:rsidP="00F93CEC">
      <w:pPr>
        <w:pStyle w:val="pj"/>
      </w:pPr>
      <w:r>
        <w:t>3.3</w:t>
      </w:r>
      <w:r w:rsidR="00003B0B">
        <w:t xml:space="preserve">) </w:t>
      </w:r>
      <w:r w:rsidR="00F93CEC">
        <w:rPr>
          <w:rStyle w:val="s0"/>
        </w:rPr>
        <w:t>Послание Главы государства от 10 января 2018 года «Новые возможности развития в условиях четвертой промышленной революции»;</w:t>
      </w:r>
    </w:p>
    <w:p w14:paraId="771F1731" w14:textId="050C3DAA" w:rsidR="00F93CEC" w:rsidRDefault="00086E5E" w:rsidP="00F93CEC">
      <w:pPr>
        <w:pStyle w:val="pj"/>
      </w:pPr>
      <w:r>
        <w:rPr>
          <w:rStyle w:val="s0"/>
        </w:rPr>
        <w:t>3.4</w:t>
      </w:r>
      <w:r w:rsidR="00F93CEC">
        <w:rPr>
          <w:rStyle w:val="s0"/>
        </w:rPr>
        <w:t>) Послание Главы государства от 5 октября 2018 года «Рост благосостояния казахстанцев: повышение доходов и качества жизни»;</w:t>
      </w:r>
    </w:p>
    <w:p w14:paraId="7EC9AA9C" w14:textId="7B0CFA9A" w:rsidR="00F93CEC" w:rsidRDefault="00086E5E" w:rsidP="00F93CEC">
      <w:pPr>
        <w:pStyle w:val="pj"/>
      </w:pPr>
      <w:r>
        <w:rPr>
          <w:rStyle w:val="s0"/>
        </w:rPr>
        <w:t>3.5</w:t>
      </w:r>
      <w:r w:rsidR="00F93CEC">
        <w:rPr>
          <w:rStyle w:val="s0"/>
        </w:rPr>
        <w:t>) Послание Главы государства от 2 сентября 2019 года «Конструктивный общественный диалог – основа стабильности и процветания Казахстана»;</w:t>
      </w:r>
    </w:p>
    <w:p w14:paraId="19A30D99" w14:textId="53CED141" w:rsidR="00F93CEC" w:rsidRDefault="00086E5E" w:rsidP="00F93CEC">
      <w:pPr>
        <w:ind w:firstLine="426"/>
        <w:jc w:val="both"/>
      </w:pPr>
      <w:r>
        <w:rPr>
          <w:rStyle w:val="s0"/>
        </w:rPr>
        <w:t>3.6</w:t>
      </w:r>
      <w:r w:rsidR="00F93CEC">
        <w:rPr>
          <w:rStyle w:val="s0"/>
        </w:rPr>
        <w:t>) Послание Главы государства от 1 сентября 2020 года «Казахстан в новой реальности: время действий»;</w:t>
      </w:r>
    </w:p>
    <w:p w14:paraId="7E1C84E5" w14:textId="11543433" w:rsidR="00B5768A" w:rsidRDefault="00086E5E" w:rsidP="00F93CEC">
      <w:pPr>
        <w:ind w:firstLine="426"/>
        <w:jc w:val="both"/>
        <w:rPr>
          <w:color w:val="auto"/>
        </w:rPr>
      </w:pPr>
      <w:r>
        <w:t>3.7</w:t>
      </w:r>
      <w:r w:rsidR="00F93CEC">
        <w:t xml:space="preserve">) </w:t>
      </w:r>
      <w:hyperlink r:id="rId13" w:history="1">
        <w:r w:rsidR="00F93CEC" w:rsidRPr="00FA1C49">
          <w:t>Государственные программы</w:t>
        </w:r>
      </w:hyperlink>
      <w:r w:rsidR="00003B0B">
        <w:t xml:space="preserve">: </w:t>
      </w:r>
      <w:hyperlink r:id="rId14" w:anchor="sub_id=100" w:history="1">
        <w:r w:rsidR="00003B0B" w:rsidRPr="00FA1C49">
          <w:t>Единая программа</w:t>
        </w:r>
      </w:hyperlink>
      <w:r w:rsidR="00003B0B">
        <w:t xml:space="preserve"> поддержки и развития бизнеса «Дорожная карта бизнеса 2020», утвержденная постановлением Правительства Республики Казахстан от 31 марта 2015 года № 168</w:t>
      </w:r>
      <w:r w:rsidR="00626580">
        <w:t xml:space="preserve"> (далее – </w:t>
      </w:r>
      <w:r w:rsidR="00F60C56">
        <w:t>Программа «</w:t>
      </w:r>
      <w:r w:rsidR="00626580">
        <w:t>ДКБ</w:t>
      </w:r>
      <w:r w:rsidR="001C1E49">
        <w:t>-</w:t>
      </w:r>
      <w:r w:rsidR="00626580">
        <w:t>2020</w:t>
      </w:r>
      <w:r w:rsidR="00F60C56">
        <w:t>»</w:t>
      </w:r>
      <w:r w:rsidR="00626580">
        <w:t>)</w:t>
      </w:r>
      <w:r w:rsidR="00C23EFA">
        <w:t>,</w:t>
      </w:r>
      <w:r w:rsidR="00C23EFA" w:rsidRPr="00FA1C49">
        <w:t xml:space="preserve"> Государственная программа поддержки и развития бизнеса «Дорожная карта бизнеса-2025», утвержденная постановлением </w:t>
      </w:r>
      <w:r w:rsidR="00C23EFA" w:rsidRPr="00FA1C49">
        <w:rPr>
          <w:color w:val="auto"/>
        </w:rPr>
        <w:t xml:space="preserve">Правительства Республики Казахстан от 24 декабря 2019 года № 968 </w:t>
      </w:r>
      <w:r w:rsidR="00003B0B" w:rsidRPr="00FA1C49">
        <w:rPr>
          <w:color w:val="auto"/>
        </w:rPr>
        <w:t xml:space="preserve"> (далее - Программа «ДКБ</w:t>
      </w:r>
      <w:r w:rsidR="001C1E49">
        <w:rPr>
          <w:color w:val="auto"/>
        </w:rPr>
        <w:t>-</w:t>
      </w:r>
      <w:r w:rsidR="00C23EFA" w:rsidRPr="00FA1C49">
        <w:rPr>
          <w:color w:val="auto"/>
        </w:rPr>
        <w:t>2025</w:t>
      </w:r>
      <w:r w:rsidR="00003B0B" w:rsidRPr="00FA1C49">
        <w:rPr>
          <w:color w:val="auto"/>
        </w:rPr>
        <w:t>»);</w:t>
      </w:r>
      <w:r w:rsidR="00F93CEC" w:rsidRPr="00FA1C49">
        <w:rPr>
          <w:color w:val="auto"/>
        </w:rPr>
        <w:t xml:space="preserve"> </w:t>
      </w:r>
    </w:p>
    <w:p w14:paraId="76AFB5AB" w14:textId="6670E949" w:rsidR="00F93CEC" w:rsidRDefault="00B5768A" w:rsidP="00F93CEC">
      <w:pPr>
        <w:ind w:firstLine="426"/>
        <w:jc w:val="both"/>
        <w:rPr>
          <w:rStyle w:val="s1"/>
          <w:b w:val="0"/>
        </w:rPr>
      </w:pPr>
      <w:r>
        <w:rPr>
          <w:color w:val="auto"/>
        </w:rPr>
        <w:t xml:space="preserve">3.8) </w:t>
      </w:r>
      <w:r w:rsidR="00F93CEC" w:rsidRPr="00FA1C49">
        <w:rPr>
          <w:rStyle w:val="s1"/>
          <w:b w:val="0"/>
          <w:color w:val="auto"/>
        </w:rPr>
        <w:t xml:space="preserve">Механизм кредитования и финансового лизинга приоритетных проектов, утвержденный </w:t>
      </w:r>
      <w:r w:rsidR="00F93CEC" w:rsidRPr="00FA1C49">
        <w:rPr>
          <w:color w:val="auto"/>
        </w:rPr>
        <w:t>постановлением Правительства Республики Казахстан</w:t>
      </w:r>
      <w:r w:rsidR="00F93CEC" w:rsidRPr="00FA1C49">
        <w:rPr>
          <w:b/>
          <w:color w:val="auto"/>
        </w:rPr>
        <w:t xml:space="preserve"> </w:t>
      </w:r>
      <w:r w:rsidR="00F93CEC" w:rsidRPr="00FA1C49">
        <w:rPr>
          <w:rStyle w:val="s1"/>
          <w:b w:val="0"/>
          <w:color w:val="auto"/>
        </w:rPr>
        <w:t xml:space="preserve">от 11 декабря 2018 года № </w:t>
      </w:r>
      <w:r w:rsidR="00F93CEC" w:rsidRPr="00FA1C49">
        <w:rPr>
          <w:rStyle w:val="s1"/>
          <w:b w:val="0"/>
        </w:rPr>
        <w:t>820</w:t>
      </w:r>
      <w:r w:rsidR="0090758F">
        <w:rPr>
          <w:rStyle w:val="s1"/>
          <w:b w:val="0"/>
        </w:rPr>
        <w:t xml:space="preserve"> (далее – Механизм, ЭПВ)</w:t>
      </w:r>
      <w:r w:rsidR="00F93CEC">
        <w:rPr>
          <w:rStyle w:val="s1"/>
          <w:b w:val="0"/>
        </w:rPr>
        <w:t>;</w:t>
      </w:r>
    </w:p>
    <w:p w14:paraId="38BE647D" w14:textId="666349F0" w:rsidR="00606072" w:rsidRDefault="00086E5E" w:rsidP="00F93CEC">
      <w:pPr>
        <w:ind w:firstLine="426"/>
        <w:jc w:val="both"/>
        <w:rPr>
          <w:rStyle w:val="s0"/>
        </w:rPr>
      </w:pPr>
      <w:r>
        <w:rPr>
          <w:rStyle w:val="s1"/>
          <w:b w:val="0"/>
        </w:rPr>
        <w:lastRenderedPageBreak/>
        <w:t>3.</w:t>
      </w:r>
      <w:r w:rsidR="00B5768A">
        <w:rPr>
          <w:rStyle w:val="s1"/>
          <w:b w:val="0"/>
        </w:rPr>
        <w:t>9</w:t>
      </w:r>
      <w:r w:rsidR="00F93CEC">
        <w:rPr>
          <w:rStyle w:val="s1"/>
          <w:b w:val="0"/>
        </w:rPr>
        <w:t xml:space="preserve">) </w:t>
      </w:r>
      <w:r w:rsidR="00F93CEC">
        <w:rPr>
          <w:rStyle w:val="s0"/>
        </w:rPr>
        <w:t>Национальный проект по развитию предпринимательства (постановление Правительства Республики Казахстан от 12 октября 2021 года № 728)</w:t>
      </w:r>
      <w:r w:rsidR="00843EE3">
        <w:rPr>
          <w:rStyle w:val="s0"/>
        </w:rPr>
        <w:t xml:space="preserve"> (далее – Нацпроект</w:t>
      </w:r>
      <w:r w:rsidR="002119E1">
        <w:rPr>
          <w:rStyle w:val="s0"/>
        </w:rPr>
        <w:t>, Национальный проект</w:t>
      </w:r>
      <w:r w:rsidR="00843EE3">
        <w:rPr>
          <w:rStyle w:val="s0"/>
        </w:rPr>
        <w:t>)</w:t>
      </w:r>
      <w:r w:rsidR="00606072">
        <w:rPr>
          <w:rStyle w:val="s0"/>
        </w:rPr>
        <w:t>;</w:t>
      </w:r>
    </w:p>
    <w:p w14:paraId="4DD95A48" w14:textId="0A186BFC" w:rsidR="00014C1A" w:rsidRPr="00D6162C" w:rsidRDefault="00F93CEC" w:rsidP="00F93CEC">
      <w:pPr>
        <w:ind w:firstLine="426"/>
        <w:jc w:val="both"/>
        <w:rPr>
          <w:b/>
        </w:rPr>
      </w:pPr>
      <w:r w:rsidRPr="00D6162C">
        <w:rPr>
          <w:rStyle w:val="s1"/>
          <w:b w:val="0"/>
        </w:rPr>
        <w:t xml:space="preserve"> </w:t>
      </w:r>
      <w:r w:rsidR="0081561C" w:rsidRPr="00E5587E">
        <w:rPr>
          <w:rStyle w:val="s1"/>
          <w:b w:val="0"/>
        </w:rPr>
        <w:t>3.</w:t>
      </w:r>
      <w:r w:rsidR="00B5768A">
        <w:rPr>
          <w:rStyle w:val="s1"/>
          <w:b w:val="0"/>
        </w:rPr>
        <w:t>10</w:t>
      </w:r>
      <w:r w:rsidR="00606072" w:rsidRPr="00D6162C">
        <w:rPr>
          <w:rStyle w:val="s1"/>
          <w:b w:val="0"/>
        </w:rPr>
        <w:t xml:space="preserve">) </w:t>
      </w:r>
      <w:r w:rsidR="0081561C">
        <w:rPr>
          <w:rStyle w:val="s1"/>
          <w:b w:val="0"/>
        </w:rPr>
        <w:t xml:space="preserve">Концепция </w:t>
      </w:r>
      <w:r w:rsidR="0081561C">
        <w:rPr>
          <w:rStyle w:val="s0"/>
        </w:rPr>
        <w:t>развития малого и среднего предпринимательства в Республике Казахстан до 2030 года (постановление Правительства Республики Казахстан от 27 апреля 2022 года № 250)</w:t>
      </w:r>
      <w:r w:rsidR="00B94ACF">
        <w:rPr>
          <w:rStyle w:val="s0"/>
        </w:rPr>
        <w:t>.</w:t>
      </w:r>
    </w:p>
    <w:p w14:paraId="031EF10E" w14:textId="77777777" w:rsidR="00DF0CE1" w:rsidRDefault="00DF0CE1">
      <w:pPr>
        <w:ind w:firstLine="426"/>
        <w:jc w:val="both"/>
      </w:pPr>
    </w:p>
    <w:p w14:paraId="551263FA" w14:textId="73B0C996" w:rsidR="00014C1A" w:rsidRDefault="00003B0B">
      <w:pPr>
        <w:ind w:firstLine="426"/>
        <w:jc w:val="both"/>
      </w:pPr>
      <w:r>
        <w:t xml:space="preserve">В основе </w:t>
      </w:r>
      <w:r w:rsidR="00DF0CE1">
        <w:t xml:space="preserve">настоящего документа </w:t>
      </w:r>
      <w:r w:rsidR="00495BBA">
        <w:t>заложены</w:t>
      </w:r>
      <w:r>
        <w:t xml:space="preserve"> </w:t>
      </w:r>
      <w:r w:rsidR="00DF0CE1">
        <w:t xml:space="preserve">ключевые </w:t>
      </w:r>
      <w:r>
        <w:t>стратегически</w:t>
      </w:r>
      <w:r w:rsidR="00DF0CE1">
        <w:t>е</w:t>
      </w:r>
      <w:r>
        <w:t xml:space="preserve"> направлени</w:t>
      </w:r>
      <w:r w:rsidR="00DF0CE1">
        <w:t>я</w:t>
      </w:r>
      <w:r>
        <w:t xml:space="preserve"> деятельности Фонда для реализации своей роли, как института развития предпринимательства в государственной политике индустриально-инновационного и социально-экономического развития. Стратегия определяет миссию, видение, стратегические направления, а также цели, задачи и прогнозируемые значения КПД на период 2017-2023 годы.</w:t>
      </w:r>
    </w:p>
    <w:p w14:paraId="3D924903" w14:textId="77777777" w:rsidR="00DF0CE1" w:rsidRDefault="00003B0B" w:rsidP="00DF0CE1">
      <w:pPr>
        <w:ind w:firstLine="426"/>
        <w:jc w:val="both"/>
      </w:pPr>
      <w:r>
        <w:rPr>
          <w:b/>
          <w:bCs/>
        </w:rPr>
        <w:t> </w:t>
      </w:r>
    </w:p>
    <w:p w14:paraId="35137FE5" w14:textId="77777777" w:rsidR="00014C1A" w:rsidRDefault="00003B0B">
      <w:pPr>
        <w:ind w:firstLine="426"/>
        <w:jc w:val="center"/>
      </w:pPr>
      <w:bookmarkStart w:id="4" w:name="SUB100"/>
      <w:bookmarkEnd w:id="4"/>
      <w:r>
        <w:rPr>
          <w:b/>
          <w:bCs/>
        </w:rPr>
        <w:t>1. Анализ текущей ситуации</w:t>
      </w:r>
    </w:p>
    <w:p w14:paraId="481E49FC" w14:textId="77777777" w:rsidR="00014C1A" w:rsidRDefault="00003B0B">
      <w:pPr>
        <w:ind w:firstLine="426"/>
        <w:jc w:val="center"/>
      </w:pPr>
      <w:r>
        <w:t> </w:t>
      </w:r>
    </w:p>
    <w:p w14:paraId="4D092190" w14:textId="77777777" w:rsidR="00014C1A" w:rsidRDefault="00003B0B">
      <w:pPr>
        <w:ind w:firstLine="426"/>
        <w:jc w:val="both"/>
      </w:pPr>
      <w:bookmarkStart w:id="5" w:name="SUB10100"/>
      <w:bookmarkEnd w:id="5"/>
      <w:r>
        <w:rPr>
          <w:b/>
          <w:bCs/>
        </w:rPr>
        <w:t>1.1. Анализ внешней среды</w:t>
      </w:r>
    </w:p>
    <w:p w14:paraId="7259630E" w14:textId="77777777" w:rsidR="00014C1A" w:rsidRPr="00A2251D" w:rsidRDefault="00003B0B">
      <w:pPr>
        <w:ind w:firstLine="426"/>
        <w:jc w:val="both"/>
      </w:pPr>
      <w:r w:rsidRPr="00A2251D">
        <w:rPr>
          <w:i/>
          <w:iCs/>
        </w:rPr>
        <w:t>Масштаб сектора ММСП и динамика развития</w:t>
      </w:r>
    </w:p>
    <w:p w14:paraId="6A3A16CE" w14:textId="753B6D43" w:rsidR="00014C1A" w:rsidRPr="00A2251D" w:rsidRDefault="00003B0B">
      <w:pPr>
        <w:ind w:firstLine="426"/>
        <w:jc w:val="both"/>
      </w:pPr>
      <w:r w:rsidRPr="00A2251D">
        <w:t xml:space="preserve">Микро, малое, среднее предпринимательство (далее - ММСП) в Республике Казахстан стало явлением массовым и относительно динамичным. С 2010 года количество зарегистрированных субъектов ММСП увеличилось более чем на </w:t>
      </w:r>
      <w:r w:rsidR="001E5101" w:rsidRPr="00A2251D">
        <w:t>35</w:t>
      </w:r>
      <w:r w:rsidRPr="00A2251D">
        <w:t xml:space="preserve">%, и по итогам </w:t>
      </w:r>
      <w:r w:rsidR="001E5101" w:rsidRPr="00A2251D">
        <w:t xml:space="preserve">2020 </w:t>
      </w:r>
      <w:r w:rsidRPr="00A2251D">
        <w:t xml:space="preserve">года достигло 1 </w:t>
      </w:r>
      <w:r w:rsidR="001E5101" w:rsidRPr="00A2251D">
        <w:t xml:space="preserve">610 </w:t>
      </w:r>
      <w:r w:rsidRPr="00A2251D">
        <w:t>тыс. единиц. Это составляет около 96</w:t>
      </w:r>
      <w:r w:rsidR="0090758F" w:rsidRPr="00A2251D">
        <w:t>,</w:t>
      </w:r>
      <w:r w:rsidR="001E5101" w:rsidRPr="00A2251D">
        <w:t>4</w:t>
      </w:r>
      <w:r w:rsidRPr="00A2251D">
        <w:t>% от общего количества всех хозяйствующих субъектов в стране.</w:t>
      </w:r>
    </w:p>
    <w:p w14:paraId="5189CD74" w14:textId="723B8B30" w:rsidR="00014C1A" w:rsidRPr="00A2251D" w:rsidRDefault="00003B0B">
      <w:pPr>
        <w:ind w:firstLine="426"/>
        <w:jc w:val="both"/>
        <w:rPr>
          <w:color w:val="auto"/>
        </w:rPr>
      </w:pPr>
      <w:r w:rsidRPr="00A2251D">
        <w:t xml:space="preserve">Возрастает роль ММСП в обеспечении занятости населения Казахстана. К началу </w:t>
      </w:r>
      <w:r w:rsidR="001E5101" w:rsidRPr="00A2251D">
        <w:t xml:space="preserve">2021 </w:t>
      </w:r>
      <w:r w:rsidRPr="00A2251D">
        <w:t xml:space="preserve">года ММСП обеспечивает </w:t>
      </w:r>
      <w:r w:rsidR="001E5101" w:rsidRPr="00A2251D">
        <w:t>40%</w:t>
      </w:r>
      <w:r w:rsidRPr="00A2251D">
        <w:t xml:space="preserve"> </w:t>
      </w:r>
      <w:r w:rsidRPr="00A2251D">
        <w:rPr>
          <w:color w:val="auto"/>
        </w:rPr>
        <w:t xml:space="preserve">рабочих мест по стране, хотя еще 10 лет назад его вклад в занятость составлял </w:t>
      </w:r>
      <w:r w:rsidR="001E5101" w:rsidRPr="00A2251D">
        <w:rPr>
          <w:color w:val="auto"/>
        </w:rPr>
        <w:t>32</w:t>
      </w:r>
      <w:r w:rsidRPr="00A2251D">
        <w:rPr>
          <w:color w:val="auto"/>
        </w:rPr>
        <w:t>%.</w:t>
      </w:r>
    </w:p>
    <w:p w14:paraId="2E9BB535" w14:textId="5B0165D2" w:rsidR="00014C1A" w:rsidRPr="00A2251D" w:rsidRDefault="00003B0B">
      <w:pPr>
        <w:ind w:firstLine="426"/>
        <w:jc w:val="both"/>
        <w:rPr>
          <w:color w:val="auto"/>
        </w:rPr>
      </w:pPr>
      <w:r w:rsidRPr="00A2251D">
        <w:rPr>
          <w:color w:val="auto"/>
        </w:rPr>
        <w:t xml:space="preserve">Наиболее важным фактом в развитии ММСП Казахстана является его растущий вклад в экономику и доходы страны. Объемы продукции и услуг субъектов ММСП в годовом выражении с 2010 года выросли на </w:t>
      </w:r>
      <w:r w:rsidR="001E5101" w:rsidRPr="00A2251D">
        <w:rPr>
          <w:color w:val="auto"/>
        </w:rPr>
        <w:t>350</w:t>
      </w:r>
      <w:r w:rsidRPr="00A2251D">
        <w:rPr>
          <w:color w:val="auto"/>
        </w:rPr>
        <w:t xml:space="preserve">%, вклад ММСП в ВВП вырос до </w:t>
      </w:r>
      <w:r w:rsidR="001E5101" w:rsidRPr="00A2251D">
        <w:rPr>
          <w:color w:val="auto"/>
        </w:rPr>
        <w:t>31,6</w:t>
      </w:r>
      <w:r w:rsidRPr="00A2251D">
        <w:rPr>
          <w:color w:val="auto"/>
        </w:rPr>
        <w:t>%. Увеличиваются налоговые поступления в бюджет от ММСП. Так, годовая сумма выплаченного корпоративного подоходного налога только от малых предприятий за 2010-</w:t>
      </w:r>
      <w:r w:rsidR="001E5101" w:rsidRPr="00A2251D">
        <w:rPr>
          <w:color w:val="auto"/>
        </w:rPr>
        <w:t xml:space="preserve">2020 </w:t>
      </w:r>
      <w:r w:rsidRPr="00A2251D">
        <w:rPr>
          <w:color w:val="auto"/>
        </w:rPr>
        <w:t xml:space="preserve">годы выросла на </w:t>
      </w:r>
      <w:r w:rsidR="001E5101" w:rsidRPr="00A2251D">
        <w:rPr>
          <w:color w:val="auto"/>
        </w:rPr>
        <w:t>309</w:t>
      </w:r>
      <w:r w:rsidRPr="00A2251D">
        <w:rPr>
          <w:color w:val="auto"/>
        </w:rPr>
        <w:t xml:space="preserve">%, доля КПН малых предприятий в общей сумме поступлений КПН от всех предприятий за этот же период выросла с 10,8% до </w:t>
      </w:r>
      <w:r w:rsidR="001E5101" w:rsidRPr="00A2251D">
        <w:rPr>
          <w:color w:val="auto"/>
        </w:rPr>
        <w:t>42,9</w:t>
      </w:r>
      <w:r w:rsidRPr="00A2251D">
        <w:rPr>
          <w:color w:val="auto"/>
        </w:rPr>
        <w:t>%.</w:t>
      </w:r>
    </w:p>
    <w:p w14:paraId="73929634" w14:textId="7DBA2643" w:rsidR="002B1307" w:rsidRPr="00A2251D" w:rsidRDefault="002B1307" w:rsidP="0057705B">
      <w:pPr>
        <w:ind w:firstLine="567"/>
        <w:contextualSpacing/>
        <w:jc w:val="both"/>
        <w:rPr>
          <w:color w:val="auto"/>
        </w:rPr>
      </w:pPr>
      <w:r w:rsidRPr="00A2251D">
        <w:t>Пандемия COVID-19 поставила перед Фондом новые вызовы, и одновременно дала стимулы для развития продуктов Фонда «Даму», процессы цифровизации приобрели особую актуальность. Так в самый пик короновирусной инфекции, Фонду удалось достичь полностью дистанционного, безбумажного процесса рассмотрения заявок предпринимателей: от принятия заявки до предоставления решения.</w:t>
      </w:r>
      <w:r w:rsidRPr="00A2251D">
        <w:rPr>
          <w:color w:val="1F497D"/>
        </w:rPr>
        <w:t xml:space="preserve"> </w:t>
      </w:r>
      <w:r w:rsidRPr="00A2251D">
        <w:t xml:space="preserve">Фондом была организована функционирующая практически круглосуточно и без выходных поддержка пользователей, работающих в удаленном режиме, налажена работа портала </w:t>
      </w:r>
      <w:r w:rsidRPr="00A2251D">
        <w:rPr>
          <w:lang w:val="kk-KZ"/>
        </w:rPr>
        <w:t xml:space="preserve">online.damu.kz, с целью бесперебойной поддержки </w:t>
      </w:r>
      <w:r w:rsidRPr="00A2251D">
        <w:t xml:space="preserve">микро-, малого и среднего бизнеса, путем обработки поступающих онлайн заявок. </w:t>
      </w:r>
    </w:p>
    <w:p w14:paraId="70AA0747" w14:textId="43962EEA" w:rsidR="0057705B" w:rsidRPr="00A2251D" w:rsidRDefault="0057705B" w:rsidP="0057705B">
      <w:pPr>
        <w:ind w:firstLine="567"/>
        <w:contextualSpacing/>
        <w:jc w:val="both"/>
        <w:rPr>
          <w:color w:val="auto"/>
        </w:rPr>
      </w:pPr>
      <w:r w:rsidRPr="00A2251D">
        <w:rPr>
          <w:color w:val="auto"/>
        </w:rPr>
        <w:t xml:space="preserve">Пандемия коронавируса </w:t>
      </w:r>
      <w:r w:rsidRPr="00A2251D">
        <w:rPr>
          <w:color w:val="auto"/>
          <w:lang w:val="en-US"/>
        </w:rPr>
        <w:t>COVID</w:t>
      </w:r>
      <w:r w:rsidRPr="00A2251D">
        <w:rPr>
          <w:color w:val="auto"/>
        </w:rPr>
        <w:t>-19 повлияла на все страны без исключения. Так, согласно докладу Международного валютного фонда, реальный ВВП мировой экономики сократился на 3,3%. Экономика Казахстана также пострадала от ограничительных мер, введенных в связи с ростом количества инфицированных. ВВП Казахстана снизилось в реальном выражении на 2,5% в сравнении с 2019 годом. Пострадали такие сектора как торговля, логистика, горнодобывающая промышленность, туризм, предоставление услуг и др.</w:t>
      </w:r>
    </w:p>
    <w:p w14:paraId="7AC50055" w14:textId="184E6AE2" w:rsidR="00680CA3" w:rsidRPr="00A2251D" w:rsidRDefault="00680CA3" w:rsidP="00680CA3">
      <w:pPr>
        <w:ind w:firstLine="567"/>
        <w:contextualSpacing/>
        <w:jc w:val="both"/>
      </w:pPr>
      <w:r w:rsidRPr="00A2251D">
        <w:t xml:space="preserve">Правительство РК приняло пакет антикризисных мер, который также включал в себя ряд мер, по поддержке субъектов СМСП. В рамках мер, оказываемых Фондом «Даму», были внесены изменения, улучшающие условия </w:t>
      </w:r>
      <w:r w:rsidRPr="00A2251D">
        <w:rPr>
          <w:bCs/>
        </w:rPr>
        <w:t>Программ «ДКБ-2025» и ЭПВ</w:t>
      </w:r>
      <w:r w:rsidRPr="00A2251D">
        <w:t>:</w:t>
      </w:r>
    </w:p>
    <w:p w14:paraId="72AABA9B" w14:textId="77777777" w:rsidR="00680CA3" w:rsidRPr="00A2251D" w:rsidRDefault="00680CA3" w:rsidP="00680CA3">
      <w:pPr>
        <w:numPr>
          <w:ilvl w:val="0"/>
          <w:numId w:val="3"/>
        </w:numPr>
        <w:ind w:left="851" w:hanging="284"/>
        <w:contextualSpacing/>
        <w:jc w:val="both"/>
      </w:pPr>
      <w:r w:rsidRPr="00A2251D">
        <w:lastRenderedPageBreak/>
        <w:t>сняты отраслевые ограничения;</w:t>
      </w:r>
    </w:p>
    <w:p w14:paraId="1AC5C4B9" w14:textId="2396DECB" w:rsidR="00680CA3" w:rsidRPr="00A2251D" w:rsidRDefault="00680CA3" w:rsidP="00680CA3">
      <w:pPr>
        <w:numPr>
          <w:ilvl w:val="0"/>
          <w:numId w:val="3"/>
        </w:numPr>
        <w:ind w:left="851" w:hanging="284"/>
        <w:contextualSpacing/>
        <w:jc w:val="both"/>
      </w:pPr>
      <w:r w:rsidRPr="00A2251D">
        <w:t>запущена программа микрокредитования;</w:t>
      </w:r>
    </w:p>
    <w:p w14:paraId="30189CCA" w14:textId="05E2345C" w:rsidR="00680CA3" w:rsidRPr="00A2251D" w:rsidRDefault="00680CA3" w:rsidP="00680CA3">
      <w:pPr>
        <w:numPr>
          <w:ilvl w:val="0"/>
          <w:numId w:val="3"/>
        </w:numPr>
        <w:ind w:left="851" w:hanging="284"/>
        <w:contextualSpacing/>
        <w:jc w:val="both"/>
      </w:pPr>
      <w:r w:rsidRPr="00A2251D">
        <w:t>унифицирована ставка вознаграждения до 6% на конечного заемщика;</w:t>
      </w:r>
    </w:p>
    <w:p w14:paraId="3B43B1F9" w14:textId="77777777" w:rsidR="00680CA3" w:rsidRPr="00A2251D" w:rsidRDefault="00680CA3" w:rsidP="00680CA3">
      <w:pPr>
        <w:pStyle w:val="af1"/>
        <w:numPr>
          <w:ilvl w:val="0"/>
          <w:numId w:val="3"/>
        </w:numPr>
        <w:spacing w:after="0" w:line="240" w:lineRule="auto"/>
        <w:ind w:left="851" w:hanging="284"/>
        <w:jc w:val="both"/>
        <w:rPr>
          <w:rFonts w:ascii="Times New Roman" w:hAnsi="Times New Roman"/>
          <w:sz w:val="24"/>
          <w:szCs w:val="24"/>
        </w:rPr>
      </w:pPr>
      <w:r w:rsidRPr="00A2251D">
        <w:rPr>
          <w:rFonts w:ascii="Times New Roman" w:hAnsi="Times New Roman"/>
          <w:bCs/>
          <w:sz w:val="24"/>
          <w:szCs w:val="24"/>
        </w:rPr>
        <w:t>п</w:t>
      </w:r>
      <w:r w:rsidRPr="00A2251D">
        <w:rPr>
          <w:rFonts w:ascii="Times New Roman" w:hAnsi="Times New Roman"/>
          <w:sz w:val="24"/>
          <w:szCs w:val="24"/>
        </w:rPr>
        <w:t xml:space="preserve">редусмотрено портфельное субсидирование и гарантирование по кредитам/микрокредитам. Суть портфельного субсидирования / гарантирования заключается в предоставлении финансовым партнерам (БВУ, МФО) определенного лимита на использование субсидий / гарантий Фонда, без согласования каждого отдельного проекта Фондом. </w:t>
      </w:r>
    </w:p>
    <w:p w14:paraId="2F0F66F7" w14:textId="700E1141" w:rsidR="00680CA3" w:rsidRDefault="00680CA3" w:rsidP="00680CA3">
      <w:pPr>
        <w:ind w:firstLine="708"/>
        <w:jc w:val="both"/>
      </w:pPr>
      <w:r w:rsidRPr="00A2251D">
        <w:t xml:space="preserve">Кроме того, согласно поручению Президента страны, были просубсидированы проекты предпринимателей в наиболее пострадавших секторах экономики, которые не подпадали под условия </w:t>
      </w:r>
      <w:r w:rsidRPr="00A2251D">
        <w:rPr>
          <w:bCs/>
        </w:rPr>
        <w:t>Программы «ДКБ-2025»</w:t>
      </w:r>
      <w:r w:rsidRPr="00A2251D">
        <w:t>. Данная государственная поддержка предпринимателей являлась временной мерой для восстановления отечественного бизнеса. В рамках данного поручения Фондом «Даму» было поддержано более 19 тыс. проектов предпринимателей в наиболее пострадавших секторах экономики на общую сумму кредитов более 800 млрд тенге.</w:t>
      </w:r>
    </w:p>
    <w:p w14:paraId="1BCB329F" w14:textId="5091A243" w:rsidR="00014C1A" w:rsidRDefault="00680CA3" w:rsidP="00FA1C49">
      <w:pPr>
        <w:ind w:firstLine="426"/>
        <w:jc w:val="both"/>
      </w:pPr>
      <w:r>
        <w:t>Также государством приняты меры по п</w:t>
      </w:r>
      <w:r w:rsidRPr="003412E6">
        <w:t>редоставлен</w:t>
      </w:r>
      <w:r>
        <w:t>ию</w:t>
      </w:r>
      <w:r w:rsidRPr="003412E6">
        <w:t xml:space="preserve"> отсрочк</w:t>
      </w:r>
      <w:r>
        <w:t>и</w:t>
      </w:r>
      <w:r w:rsidRPr="003412E6">
        <w:t xml:space="preserve"> по кредитам предпринимател</w:t>
      </w:r>
      <w:r>
        <w:t>ей,</w:t>
      </w:r>
      <w:r w:rsidRPr="003412E6">
        <w:t xml:space="preserve"> осуществляющих свою деятельность в наиболее пострадавших секторах экономики</w:t>
      </w:r>
      <w:r>
        <w:t>.</w:t>
      </w:r>
      <w:r w:rsidRPr="003412E6">
        <w:t xml:space="preserve"> </w:t>
      </w:r>
      <w:r w:rsidRPr="0031465A">
        <w:t xml:space="preserve">Фонд </w:t>
      </w:r>
      <w:r>
        <w:t xml:space="preserve">в свою очередь, </w:t>
      </w:r>
      <w:r w:rsidRPr="00680CA3">
        <w:t>сократил срок рассмотрения до 1 рабочего дня</w:t>
      </w:r>
      <w:r w:rsidRPr="0031465A">
        <w:t xml:space="preserve"> по проектам субсидирования и гарантирования.</w:t>
      </w:r>
    </w:p>
    <w:p w14:paraId="328A5574" w14:textId="77777777" w:rsidR="0057705B" w:rsidRDefault="00003B0B">
      <w:pPr>
        <w:ind w:firstLine="426"/>
        <w:jc w:val="both"/>
      </w:pPr>
      <w:r>
        <w:rPr>
          <w:i/>
          <w:iCs/>
        </w:rPr>
        <w:t> </w:t>
      </w: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5008"/>
      </w:tblGrid>
      <w:tr w:rsidR="00311A1C" w:rsidRPr="00311A1C" w14:paraId="1A88E659" w14:textId="77777777" w:rsidTr="0057705B">
        <w:trPr>
          <w:trHeight w:val="488"/>
          <w:jc w:val="center"/>
        </w:trPr>
        <w:tc>
          <w:tcPr>
            <w:tcW w:w="5278" w:type="dxa"/>
            <w:tcBorders>
              <w:top w:val="single" w:sz="4" w:space="0" w:color="auto"/>
              <w:left w:val="single" w:sz="4" w:space="0" w:color="auto"/>
              <w:bottom w:val="single" w:sz="4" w:space="0" w:color="auto"/>
              <w:right w:val="single" w:sz="4" w:space="0" w:color="auto"/>
            </w:tcBorders>
            <w:hideMark/>
          </w:tcPr>
          <w:p w14:paraId="18D235D5" w14:textId="77777777" w:rsidR="0057705B" w:rsidRPr="00311A1C" w:rsidRDefault="0057705B" w:rsidP="0057705B">
            <w:pPr>
              <w:ind w:right="-258"/>
              <w:contextualSpacing/>
              <w:jc w:val="center"/>
              <w:rPr>
                <w:b/>
                <w:color w:val="auto"/>
                <w:lang w:val="kk-KZ" w:eastAsia="en-US"/>
              </w:rPr>
            </w:pPr>
            <w:r w:rsidRPr="00311A1C">
              <w:rPr>
                <w:b/>
                <w:color w:val="auto"/>
              </w:rPr>
              <w:t>Количество зарегистрированных</w:t>
            </w:r>
          </w:p>
          <w:p w14:paraId="5367EC84" w14:textId="77777777" w:rsidR="0057705B" w:rsidRPr="00311A1C" w:rsidRDefault="0057705B" w:rsidP="0057705B">
            <w:pPr>
              <w:ind w:right="-258"/>
              <w:contextualSpacing/>
              <w:jc w:val="center"/>
              <w:rPr>
                <w:b/>
                <w:color w:val="auto"/>
                <w:lang w:val="kk-KZ" w:eastAsia="en-US"/>
              </w:rPr>
            </w:pPr>
            <w:r w:rsidRPr="00311A1C">
              <w:rPr>
                <w:b/>
                <w:color w:val="auto"/>
              </w:rPr>
              <w:t>субъектов ММСП</w:t>
            </w:r>
          </w:p>
        </w:tc>
        <w:tc>
          <w:tcPr>
            <w:tcW w:w="5008" w:type="dxa"/>
            <w:tcBorders>
              <w:top w:val="single" w:sz="4" w:space="0" w:color="auto"/>
              <w:left w:val="single" w:sz="4" w:space="0" w:color="auto"/>
              <w:bottom w:val="single" w:sz="4" w:space="0" w:color="auto"/>
              <w:right w:val="single" w:sz="4" w:space="0" w:color="auto"/>
            </w:tcBorders>
            <w:hideMark/>
          </w:tcPr>
          <w:p w14:paraId="54E97060" w14:textId="77777777" w:rsidR="0057705B" w:rsidRPr="00311A1C" w:rsidRDefault="0057705B" w:rsidP="0057705B">
            <w:pPr>
              <w:ind w:right="1"/>
              <w:contextualSpacing/>
              <w:jc w:val="center"/>
              <w:rPr>
                <w:b/>
                <w:color w:val="auto"/>
                <w:lang w:val="kk-KZ" w:eastAsia="en-US"/>
              </w:rPr>
            </w:pPr>
            <w:r w:rsidRPr="00311A1C">
              <w:rPr>
                <w:b/>
                <w:color w:val="auto"/>
              </w:rPr>
              <w:t>Численность занятых в ММСП</w:t>
            </w:r>
          </w:p>
        </w:tc>
      </w:tr>
      <w:tr w:rsidR="00311A1C" w:rsidRPr="00311A1C" w14:paraId="4853AEBC" w14:textId="77777777" w:rsidTr="0057705B">
        <w:trPr>
          <w:trHeight w:val="2309"/>
          <w:jc w:val="center"/>
        </w:trPr>
        <w:tc>
          <w:tcPr>
            <w:tcW w:w="5278" w:type="dxa"/>
            <w:tcBorders>
              <w:top w:val="single" w:sz="4" w:space="0" w:color="auto"/>
              <w:left w:val="single" w:sz="4" w:space="0" w:color="auto"/>
              <w:bottom w:val="single" w:sz="4" w:space="0" w:color="auto"/>
              <w:right w:val="single" w:sz="4" w:space="0" w:color="auto"/>
            </w:tcBorders>
          </w:tcPr>
          <w:p w14:paraId="10F9A526" w14:textId="74B922ED" w:rsidR="0057705B" w:rsidRPr="00311A1C" w:rsidRDefault="0057705B" w:rsidP="0057705B">
            <w:pPr>
              <w:contextualSpacing/>
              <w:jc w:val="both"/>
              <w:rPr>
                <w:noProof/>
                <w:color w:val="auto"/>
              </w:rPr>
            </w:pPr>
            <w:r w:rsidRPr="00311A1C">
              <w:rPr>
                <w:noProof/>
                <w:color w:val="auto"/>
              </w:rPr>
              <w:drawing>
                <wp:inline distT="0" distB="0" distL="0" distR="0" wp14:anchorId="7FFD1795" wp14:editId="1A7E275F">
                  <wp:extent cx="3016250" cy="2138680"/>
                  <wp:effectExtent l="0" t="0" r="0" b="0"/>
                  <wp:docPr id="21"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4415ADA" w14:textId="77777777" w:rsidR="0057705B" w:rsidRPr="00311A1C" w:rsidRDefault="0057705B" w:rsidP="0057705B">
            <w:pPr>
              <w:contextualSpacing/>
              <w:jc w:val="both"/>
              <w:rPr>
                <w:noProof/>
                <w:color w:val="auto"/>
              </w:rPr>
            </w:pPr>
          </w:p>
        </w:tc>
        <w:tc>
          <w:tcPr>
            <w:tcW w:w="5008" w:type="dxa"/>
            <w:tcBorders>
              <w:top w:val="single" w:sz="4" w:space="0" w:color="auto"/>
              <w:left w:val="single" w:sz="4" w:space="0" w:color="auto"/>
              <w:bottom w:val="single" w:sz="4" w:space="0" w:color="auto"/>
              <w:right w:val="single" w:sz="4" w:space="0" w:color="auto"/>
            </w:tcBorders>
            <w:hideMark/>
          </w:tcPr>
          <w:p w14:paraId="6A4731F0" w14:textId="124168EB" w:rsidR="0057705B" w:rsidRPr="00311A1C" w:rsidRDefault="0057705B" w:rsidP="0057705B">
            <w:pPr>
              <w:contextualSpacing/>
              <w:jc w:val="both"/>
              <w:rPr>
                <w:color w:val="auto"/>
                <w:lang w:val="kk-KZ" w:eastAsia="en-US"/>
              </w:rPr>
            </w:pPr>
            <w:r w:rsidRPr="00311A1C">
              <w:rPr>
                <w:noProof/>
                <w:color w:val="auto"/>
              </w:rPr>
              <w:drawing>
                <wp:inline distT="0" distB="0" distL="0" distR="0" wp14:anchorId="2B7EA42B" wp14:editId="436EF1DC">
                  <wp:extent cx="3027680" cy="2138680"/>
                  <wp:effectExtent l="0" t="0" r="1270" b="0"/>
                  <wp:docPr id="20"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311A1C" w:rsidRPr="00311A1C" w14:paraId="03A8BEC7" w14:textId="77777777" w:rsidTr="0057705B">
        <w:trPr>
          <w:trHeight w:val="243"/>
          <w:jc w:val="center"/>
        </w:trPr>
        <w:tc>
          <w:tcPr>
            <w:tcW w:w="5278" w:type="dxa"/>
            <w:tcBorders>
              <w:top w:val="single" w:sz="4" w:space="0" w:color="auto"/>
              <w:left w:val="single" w:sz="4" w:space="0" w:color="auto"/>
              <w:bottom w:val="single" w:sz="4" w:space="0" w:color="auto"/>
              <w:right w:val="single" w:sz="4" w:space="0" w:color="auto"/>
            </w:tcBorders>
          </w:tcPr>
          <w:p w14:paraId="4D634760" w14:textId="77777777" w:rsidR="0057705B" w:rsidRPr="00311A1C" w:rsidRDefault="0057705B" w:rsidP="0057705B">
            <w:pPr>
              <w:contextualSpacing/>
              <w:jc w:val="center"/>
              <w:rPr>
                <w:b/>
                <w:color w:val="auto"/>
                <w:lang w:val="kk-KZ" w:eastAsia="en-US"/>
              </w:rPr>
            </w:pPr>
            <w:r w:rsidRPr="00311A1C">
              <w:rPr>
                <w:b/>
                <w:color w:val="auto"/>
              </w:rPr>
              <w:t>Выпуск продукции ММСП</w:t>
            </w:r>
          </w:p>
          <w:p w14:paraId="74B608FC" w14:textId="77777777" w:rsidR="0057705B" w:rsidRPr="00311A1C" w:rsidRDefault="0057705B" w:rsidP="0057705B">
            <w:pPr>
              <w:contextualSpacing/>
              <w:jc w:val="center"/>
              <w:rPr>
                <w:b/>
                <w:color w:val="auto"/>
                <w:lang w:val="kk-KZ" w:eastAsia="en-US"/>
              </w:rPr>
            </w:pPr>
          </w:p>
        </w:tc>
        <w:tc>
          <w:tcPr>
            <w:tcW w:w="5008" w:type="dxa"/>
            <w:tcBorders>
              <w:top w:val="single" w:sz="4" w:space="0" w:color="auto"/>
              <w:left w:val="single" w:sz="4" w:space="0" w:color="auto"/>
              <w:bottom w:val="single" w:sz="4" w:space="0" w:color="auto"/>
              <w:right w:val="single" w:sz="4" w:space="0" w:color="auto"/>
            </w:tcBorders>
            <w:hideMark/>
          </w:tcPr>
          <w:p w14:paraId="0683A6F5" w14:textId="77777777" w:rsidR="0057705B" w:rsidRPr="00311A1C" w:rsidRDefault="0057705B" w:rsidP="0057705B">
            <w:pPr>
              <w:ind w:right="427"/>
              <w:contextualSpacing/>
              <w:jc w:val="center"/>
              <w:rPr>
                <w:b/>
                <w:color w:val="auto"/>
                <w:lang w:val="kk-KZ" w:eastAsia="en-US"/>
              </w:rPr>
            </w:pPr>
            <w:r w:rsidRPr="00311A1C">
              <w:rPr>
                <w:b/>
                <w:color w:val="auto"/>
              </w:rPr>
              <w:t>КПН малых предприятий</w:t>
            </w:r>
          </w:p>
        </w:tc>
      </w:tr>
      <w:tr w:rsidR="00311A1C" w:rsidRPr="00311A1C" w14:paraId="1F043F1D" w14:textId="77777777" w:rsidTr="0057705B">
        <w:trPr>
          <w:trHeight w:val="1641"/>
          <w:jc w:val="center"/>
        </w:trPr>
        <w:tc>
          <w:tcPr>
            <w:tcW w:w="5278" w:type="dxa"/>
            <w:tcBorders>
              <w:top w:val="single" w:sz="4" w:space="0" w:color="auto"/>
              <w:left w:val="single" w:sz="4" w:space="0" w:color="auto"/>
              <w:bottom w:val="single" w:sz="4" w:space="0" w:color="auto"/>
              <w:right w:val="single" w:sz="4" w:space="0" w:color="auto"/>
            </w:tcBorders>
            <w:hideMark/>
          </w:tcPr>
          <w:p w14:paraId="7BAB8D7D" w14:textId="77B89AF4" w:rsidR="0057705B" w:rsidRPr="00311A1C" w:rsidRDefault="0057705B" w:rsidP="0057705B">
            <w:pPr>
              <w:contextualSpacing/>
              <w:jc w:val="both"/>
              <w:rPr>
                <w:color w:val="auto"/>
                <w:lang w:val="kk-KZ" w:eastAsia="en-US"/>
              </w:rPr>
            </w:pPr>
            <w:r w:rsidRPr="00311A1C">
              <w:rPr>
                <w:noProof/>
                <w:color w:val="auto"/>
              </w:rPr>
              <w:drawing>
                <wp:inline distT="0" distB="0" distL="0" distR="0" wp14:anchorId="346CD4F9" wp14:editId="673502C8">
                  <wp:extent cx="3016250" cy="2138680"/>
                  <wp:effectExtent l="0" t="0" r="0" b="0"/>
                  <wp:docPr id="19"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5008" w:type="dxa"/>
            <w:tcBorders>
              <w:top w:val="single" w:sz="4" w:space="0" w:color="auto"/>
              <w:left w:val="single" w:sz="4" w:space="0" w:color="auto"/>
              <w:bottom w:val="single" w:sz="4" w:space="0" w:color="auto"/>
              <w:right w:val="single" w:sz="4" w:space="0" w:color="auto"/>
            </w:tcBorders>
            <w:hideMark/>
          </w:tcPr>
          <w:p w14:paraId="7F5FF343" w14:textId="6DD19F06" w:rsidR="0057705B" w:rsidRPr="00311A1C" w:rsidRDefault="0057705B" w:rsidP="0057705B">
            <w:pPr>
              <w:contextualSpacing/>
              <w:jc w:val="both"/>
              <w:rPr>
                <w:color w:val="auto"/>
                <w:lang w:val="kk-KZ" w:eastAsia="en-US"/>
              </w:rPr>
            </w:pPr>
            <w:r w:rsidRPr="00311A1C">
              <w:rPr>
                <w:noProof/>
                <w:color w:val="auto"/>
              </w:rPr>
              <w:drawing>
                <wp:inline distT="0" distB="0" distL="0" distR="0" wp14:anchorId="4E3315A5" wp14:editId="53473539">
                  <wp:extent cx="3027680" cy="2138680"/>
                  <wp:effectExtent l="0" t="0" r="1270" b="0"/>
                  <wp:docPr id="18" name="Диаграм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5D61CD1C" w14:textId="6FDAA8CB" w:rsidR="00014C1A" w:rsidRDefault="00014C1A">
      <w:pPr>
        <w:ind w:firstLine="426"/>
        <w:jc w:val="both"/>
      </w:pPr>
    </w:p>
    <w:p w14:paraId="0C0692BA" w14:textId="003F8439" w:rsidR="00014C1A" w:rsidRPr="00FA1C49" w:rsidRDefault="00003B0B">
      <w:pPr>
        <w:ind w:firstLine="426"/>
        <w:jc w:val="center"/>
        <w:rPr>
          <w:color w:val="auto"/>
        </w:rPr>
      </w:pPr>
      <w:r w:rsidRPr="00FA1C49">
        <w:rPr>
          <w:i/>
          <w:iCs/>
          <w:color w:val="auto"/>
        </w:rPr>
        <w:lastRenderedPageBreak/>
        <w:t xml:space="preserve">Источник: </w:t>
      </w:r>
      <w:r w:rsidR="00555EFF" w:rsidRPr="00311A1C">
        <w:rPr>
          <w:i/>
          <w:iCs/>
          <w:color w:val="auto"/>
        </w:rPr>
        <w:t>Бюро национальной статистики Агентства по стратегическому планированию и реформам РК</w:t>
      </w:r>
      <w:r w:rsidR="00CE58DF" w:rsidRPr="00FA1C49">
        <w:rPr>
          <w:i/>
          <w:color w:val="auto"/>
        </w:rPr>
        <w:t xml:space="preserve"> </w:t>
      </w:r>
      <w:r w:rsidRPr="00FA1C49">
        <w:rPr>
          <w:i/>
          <w:iCs/>
          <w:color w:val="auto"/>
        </w:rPr>
        <w:t>(</w:t>
      </w:r>
      <w:r w:rsidRPr="00FA1C49">
        <w:rPr>
          <w:i/>
          <w:iCs/>
          <w:color w:val="auto"/>
          <w:lang w:val="en-US"/>
        </w:rPr>
        <w:t>www</w:t>
      </w:r>
      <w:r w:rsidRPr="00FA1C49">
        <w:rPr>
          <w:i/>
          <w:iCs/>
          <w:color w:val="auto"/>
        </w:rPr>
        <w:t>.</w:t>
      </w:r>
      <w:r w:rsidRPr="00FA1C49">
        <w:rPr>
          <w:i/>
          <w:iCs/>
          <w:color w:val="auto"/>
          <w:lang w:val="en-US"/>
        </w:rPr>
        <w:t>stat</w:t>
      </w:r>
      <w:r w:rsidRPr="00FA1C49">
        <w:rPr>
          <w:i/>
          <w:iCs/>
          <w:color w:val="auto"/>
        </w:rPr>
        <w:t>.</w:t>
      </w:r>
      <w:r w:rsidRPr="00FA1C49">
        <w:rPr>
          <w:i/>
          <w:iCs/>
          <w:color w:val="auto"/>
          <w:lang w:val="en-US"/>
        </w:rPr>
        <w:t>gov</w:t>
      </w:r>
      <w:r w:rsidRPr="00FA1C49">
        <w:rPr>
          <w:i/>
          <w:iCs/>
          <w:color w:val="auto"/>
        </w:rPr>
        <w:t>.</w:t>
      </w:r>
      <w:r w:rsidRPr="00FA1C49">
        <w:rPr>
          <w:i/>
          <w:iCs/>
          <w:color w:val="auto"/>
          <w:lang w:val="en-US"/>
        </w:rPr>
        <w:t>kz</w:t>
      </w:r>
      <w:r w:rsidRPr="00FA1C49">
        <w:rPr>
          <w:i/>
          <w:iCs/>
          <w:color w:val="auto"/>
        </w:rPr>
        <w:t>)</w:t>
      </w:r>
    </w:p>
    <w:p w14:paraId="73379E18" w14:textId="77777777" w:rsidR="00014C1A" w:rsidRPr="00FA1C49" w:rsidRDefault="00003B0B">
      <w:pPr>
        <w:ind w:firstLine="426"/>
        <w:jc w:val="center"/>
        <w:rPr>
          <w:color w:val="auto"/>
        </w:rPr>
      </w:pPr>
      <w:r w:rsidRPr="00FA1C49">
        <w:rPr>
          <w:color w:val="auto"/>
        </w:rPr>
        <w:t> </w:t>
      </w:r>
    </w:p>
    <w:p w14:paraId="37B8E539" w14:textId="0E8224E7" w:rsidR="00014C1A" w:rsidRPr="00A2251D" w:rsidRDefault="00003B0B">
      <w:pPr>
        <w:ind w:firstLine="426"/>
        <w:jc w:val="both"/>
        <w:rPr>
          <w:color w:val="auto"/>
        </w:rPr>
      </w:pPr>
      <w:r w:rsidRPr="00A2251D">
        <w:rPr>
          <w:color w:val="auto"/>
        </w:rPr>
        <w:t xml:space="preserve">Вместе с этим, в отличие от более конкурентоспособных экономик стран Западной Европы, Северной Америки и Юго-Восточной Азии, роль ММСП в экономике Казахстана выглядит менее значительно. В странах с высоким уровнем ВВП на душу населения сектор ММСП является основой экономики и обеспечивает более 50% ВВП страны. </w:t>
      </w:r>
      <w:r w:rsidR="0057705B" w:rsidRPr="00A2251D">
        <w:rPr>
          <w:color w:val="auto"/>
        </w:rPr>
        <w:t xml:space="preserve">Доля субъектов ММСП в общем количестве хозяйствующих субъектов составляет около 99%. </w:t>
      </w:r>
      <w:r w:rsidRPr="00A2251D">
        <w:rPr>
          <w:color w:val="auto"/>
        </w:rPr>
        <w:t>Кроме этого, в развитых странах в ММСП работает порядка 50-70% всех занятых.</w:t>
      </w:r>
    </w:p>
    <w:p w14:paraId="4B3E81C4" w14:textId="77777777" w:rsidR="00014C1A" w:rsidRPr="00A2251D" w:rsidRDefault="00003B0B">
      <w:pPr>
        <w:ind w:firstLine="426"/>
        <w:jc w:val="both"/>
      </w:pPr>
      <w:r w:rsidRPr="00A2251D">
        <w:t>Таким образом, к настоящему моменту от состояния развития сектора ММСП в значительной мере зависит состояние всей экономики Казахстана. В этих условиях перед государственными органами, включая Фонд «Даму», стоят задачи:</w:t>
      </w:r>
    </w:p>
    <w:p w14:paraId="38050FAD" w14:textId="77777777" w:rsidR="00014C1A" w:rsidRPr="00A2251D" w:rsidRDefault="00003B0B">
      <w:pPr>
        <w:ind w:firstLine="426"/>
        <w:jc w:val="both"/>
      </w:pPr>
      <w:r w:rsidRPr="00A2251D">
        <w:t xml:space="preserve">- </w:t>
      </w:r>
      <w:r w:rsidRPr="00A2251D">
        <w:rPr>
          <w:i/>
          <w:iCs/>
        </w:rPr>
        <w:t xml:space="preserve">в среднесрочной перспективе </w:t>
      </w:r>
      <w:r w:rsidRPr="00A2251D">
        <w:t>- не допустить сокращения набранных темпов роста сектора ММСП,</w:t>
      </w:r>
    </w:p>
    <w:p w14:paraId="353720A9" w14:textId="77777777" w:rsidR="00014C1A" w:rsidRDefault="00003B0B">
      <w:pPr>
        <w:ind w:firstLine="426"/>
        <w:jc w:val="both"/>
      </w:pPr>
      <w:r w:rsidRPr="00A2251D">
        <w:t xml:space="preserve">- </w:t>
      </w:r>
      <w:r w:rsidRPr="00A2251D">
        <w:rPr>
          <w:i/>
          <w:iCs/>
        </w:rPr>
        <w:t xml:space="preserve">в долгосрочной перспективе </w:t>
      </w:r>
      <w:r w:rsidRPr="00A2251D">
        <w:t>- обеспечить достижение целей, обозначенных в Посланиях Президента Республики Казахстан Н. Назарбаева народу Казахстана от 14 декабря 2012 года и от 17 января 2014 года: доля ММСП в экономике должна к 2030 году вырасти, по крайней мере, вдвое (что должно составлять 35% ВВП), к 2050 году - составлять не менее 50% объёма ВВП Казахстана.</w:t>
      </w:r>
    </w:p>
    <w:p w14:paraId="1EECD1CE" w14:textId="77777777" w:rsidR="00014C1A" w:rsidRDefault="00003B0B">
      <w:pPr>
        <w:ind w:firstLine="426"/>
        <w:jc w:val="both"/>
      </w:pPr>
      <w:r>
        <w:rPr>
          <w:i/>
          <w:iCs/>
        </w:rPr>
        <w:t>Профиль сектора ММСП</w:t>
      </w:r>
    </w:p>
    <w:p w14:paraId="7E39A094" w14:textId="033CA479" w:rsidR="00014C1A" w:rsidRDefault="00003B0B">
      <w:pPr>
        <w:ind w:firstLine="426"/>
        <w:jc w:val="both"/>
      </w:pPr>
      <w:r>
        <w:t xml:space="preserve">С января 2016 года вступил в силу </w:t>
      </w:r>
      <w:hyperlink r:id="rId19" w:history="1">
        <w:r>
          <w:rPr>
            <w:rStyle w:val="a5"/>
          </w:rPr>
          <w:t>Предпринимательский кодекс</w:t>
        </w:r>
      </w:hyperlink>
      <w:r>
        <w:t xml:space="preserve"> Республики Казахстан. Он заменил ранее действовавший </w:t>
      </w:r>
      <w:hyperlink r:id="rId20" w:history="1">
        <w:r>
          <w:rPr>
            <w:rStyle w:val="a5"/>
          </w:rPr>
          <w:t>Закон</w:t>
        </w:r>
      </w:hyperlink>
      <w:r>
        <w:t xml:space="preserve"> «О частном предпринимательстве». Кодекс определяет правовые, экономические и социальные условия и гарантии, обеспечивающие свободу предпринимательства в Республике Казахстан, регулирует общественные отношения, возникающие в связи с взаимодействием субъектов предпринимательства и государства, в том числе государственным регулированием и поддержкой предпринимательства. Помимо этого</w:t>
      </w:r>
      <w:r w:rsidR="00311A1C">
        <w:t>,</w:t>
      </w:r>
      <w:r>
        <w:t xml:space="preserve"> для целей государственной статистики, оказания государственной поддержки и применения иных норм законодательства Республики Казахстан кодекс определяет категории субъектов предпринимательства, которые включают:</w:t>
      </w:r>
    </w:p>
    <w:p w14:paraId="03D23851" w14:textId="77777777" w:rsidR="00014C1A" w:rsidRDefault="00003B0B">
      <w:pPr>
        <w:ind w:firstLine="426"/>
        <w:jc w:val="both"/>
      </w:pPr>
      <w:r>
        <w:t xml:space="preserve">• </w:t>
      </w:r>
      <w:r>
        <w:rPr>
          <w:i/>
          <w:iCs/>
        </w:rPr>
        <w:t xml:space="preserve">субъекты микропредпринимательства </w:t>
      </w:r>
      <w:r>
        <w:t>- субъекты малого предпринимательства, осуществляющие частное предпринимательство, со среднегодовой численностью работников не более 15 человек или среднегодовым доходом не свыше 30 000 МРП, установленного законом о республиканском бюджете и действующего на 1 января соответствующего финансового года;</w:t>
      </w:r>
    </w:p>
    <w:p w14:paraId="32C73A4B" w14:textId="77777777" w:rsidR="00014C1A" w:rsidRDefault="00003B0B">
      <w:pPr>
        <w:ind w:firstLine="426"/>
        <w:jc w:val="both"/>
      </w:pPr>
      <w:r>
        <w:t xml:space="preserve">• </w:t>
      </w:r>
      <w:r>
        <w:rPr>
          <w:i/>
          <w:iCs/>
        </w:rPr>
        <w:t xml:space="preserve">субъекты малого предпринимательства </w:t>
      </w:r>
      <w:r>
        <w:t>- индивидуальные предприниматели без образования юридического лица и юридические лица, осуществляющие предпринимательство, со среднегодовой численностью работников не более 100 человек и среднегодовым доходом не свыше 300 000 МРП, установленного законом о республиканском бюджете и действующего на 1 января соответствующего финансового года;</w:t>
      </w:r>
    </w:p>
    <w:p w14:paraId="201411EF" w14:textId="77777777" w:rsidR="00014C1A" w:rsidRDefault="00003B0B">
      <w:pPr>
        <w:ind w:firstLine="426"/>
        <w:jc w:val="both"/>
      </w:pPr>
      <w:r>
        <w:t xml:space="preserve">• </w:t>
      </w:r>
      <w:r>
        <w:rPr>
          <w:i/>
          <w:iCs/>
        </w:rPr>
        <w:t xml:space="preserve">субъекты среднего предпринимательства </w:t>
      </w:r>
      <w:r>
        <w:t>- индивидуальные предприниматели и юридические лица, осуществляющие предпринимательство, не относящиеся к субъектам малого и крупного предпринимательства;</w:t>
      </w:r>
    </w:p>
    <w:p w14:paraId="3D00CAA0" w14:textId="77777777" w:rsidR="00014C1A" w:rsidRDefault="00003B0B">
      <w:pPr>
        <w:ind w:firstLine="426"/>
        <w:jc w:val="both"/>
      </w:pPr>
      <w:r>
        <w:t xml:space="preserve">• </w:t>
      </w:r>
      <w:r>
        <w:rPr>
          <w:i/>
          <w:iCs/>
        </w:rPr>
        <w:t xml:space="preserve">субъекты крупного предпринимательства </w:t>
      </w:r>
      <w:r>
        <w:t xml:space="preserve">- индивидуальные предприниматели и юридические лица, осуществляющие предпринимательство и отвечающие одному или двум из следующих критериев: среднегодовая численность работников более 250 человек и (или) среднегодовой доход свыше 3 000 000 </w:t>
      </w:r>
      <w:hyperlink r:id="rId21" w:history="1">
        <w:r>
          <w:rPr>
            <w:rStyle w:val="a5"/>
          </w:rPr>
          <w:t>МРП</w:t>
        </w:r>
      </w:hyperlink>
      <w:r>
        <w:t>, установленного законом о республиканском бюджете и действующего на 1 января соответствующего финансового года.</w:t>
      </w:r>
    </w:p>
    <w:p w14:paraId="626A3CEE" w14:textId="77777777" w:rsidR="00014C1A" w:rsidRDefault="00003B0B">
      <w:pPr>
        <w:ind w:firstLine="426"/>
        <w:jc w:val="both"/>
      </w:pPr>
      <w:r>
        <w:t xml:space="preserve">Исходя из сложившихся категорий, сектор ММСП не имеет единый профиль. В него входят: многочисленная группа индивидуальных предпринимателей, крестьянские </w:t>
      </w:r>
      <w:r>
        <w:lastRenderedPageBreak/>
        <w:t>хозяйства, а также малые и средние предприятия с большими оборотами и более сложными формами управления.</w:t>
      </w:r>
    </w:p>
    <w:p w14:paraId="20B06A61" w14:textId="77777777" w:rsidR="00014C1A" w:rsidRDefault="00003B0B">
      <w:pPr>
        <w:ind w:firstLine="426"/>
        <w:jc w:val="both"/>
      </w:pPr>
      <w:r>
        <w:rPr>
          <w:b/>
          <w:bCs/>
        </w:rPr>
        <w:t> </w:t>
      </w:r>
    </w:p>
    <w:p w14:paraId="2AEDBEA4" w14:textId="5FC2F441" w:rsidR="00014C1A" w:rsidRPr="00311A1C" w:rsidRDefault="00003B0B">
      <w:pPr>
        <w:ind w:firstLine="426"/>
        <w:jc w:val="center"/>
        <w:rPr>
          <w:lang w:val="kk-KZ"/>
        </w:rPr>
      </w:pPr>
      <w:r>
        <w:rPr>
          <w:b/>
          <w:bCs/>
        </w:rPr>
        <w:t>Профиль субъектов ММСП по численности работников и выпуску продукции / выручке</w:t>
      </w:r>
      <w:r w:rsidR="006D5CFC">
        <w:rPr>
          <w:b/>
          <w:bCs/>
          <w:lang w:val="kk-KZ"/>
        </w:rPr>
        <w:t xml:space="preserve"> (на 01.01.2022)</w:t>
      </w:r>
    </w:p>
    <w:p w14:paraId="7DB76447" w14:textId="1C04E592" w:rsidR="00014C1A" w:rsidRDefault="00003B0B">
      <w:pPr>
        <w:ind w:firstLine="426"/>
        <w:jc w:val="both"/>
      </w:pPr>
      <w:r>
        <w:t> </w:t>
      </w:r>
    </w:p>
    <w:tbl>
      <w:tblPr>
        <w:tblW w:w="9340" w:type="dxa"/>
        <w:tblInd w:w="-10" w:type="dxa"/>
        <w:tblCellMar>
          <w:left w:w="0" w:type="dxa"/>
          <w:right w:w="0" w:type="dxa"/>
        </w:tblCellMar>
        <w:tblLook w:val="04A0" w:firstRow="1" w:lastRow="0" w:firstColumn="1" w:lastColumn="0" w:noHBand="0" w:noVBand="1"/>
      </w:tblPr>
      <w:tblGrid>
        <w:gridCol w:w="2694"/>
        <w:gridCol w:w="1184"/>
        <w:gridCol w:w="1101"/>
        <w:gridCol w:w="1342"/>
        <w:gridCol w:w="1506"/>
        <w:gridCol w:w="1506"/>
        <w:gridCol w:w="7"/>
      </w:tblGrid>
      <w:tr w:rsidR="00014C1A" w14:paraId="644401DA" w14:textId="44AB8147" w:rsidTr="00311A1C">
        <w:trPr>
          <w:trHeight w:val="20"/>
        </w:trPr>
        <w:tc>
          <w:tcPr>
            <w:tcW w:w="2694"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14:paraId="7F8EFBAA" w14:textId="13DE449B" w:rsidR="00014C1A" w:rsidRDefault="00003B0B">
            <w:pPr>
              <w:jc w:val="both"/>
            </w:pPr>
            <w:r>
              <w:t> </w:t>
            </w:r>
          </w:p>
          <w:p w14:paraId="2B599CF9" w14:textId="3C7369CC" w:rsidR="00014C1A" w:rsidRDefault="00003B0B">
            <w:pPr>
              <w:jc w:val="both"/>
            </w:pPr>
            <w:r>
              <w:t> </w:t>
            </w:r>
          </w:p>
        </w:tc>
        <w:tc>
          <w:tcPr>
            <w:tcW w:w="1184"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27E7CBCF" w14:textId="6A949322" w:rsidR="00014C1A" w:rsidRDefault="00003B0B">
            <w:pPr>
              <w:jc w:val="center"/>
            </w:pPr>
            <w:r>
              <w:rPr>
                <w:b/>
                <w:bCs/>
              </w:rPr>
              <w:t>Субъекты ММСП</w:t>
            </w:r>
          </w:p>
        </w:tc>
        <w:tc>
          <w:tcPr>
            <w:tcW w:w="5462" w:type="dxa"/>
            <w:gridSpan w:val="5"/>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02828564" w14:textId="29C9FAE9" w:rsidR="00014C1A" w:rsidRDefault="00003B0B">
            <w:pPr>
              <w:jc w:val="center"/>
            </w:pPr>
            <w:r>
              <w:rPr>
                <w:b/>
                <w:bCs/>
              </w:rPr>
              <w:t>В том числе:</w:t>
            </w:r>
          </w:p>
        </w:tc>
      </w:tr>
      <w:tr w:rsidR="00014C1A" w14:paraId="53D43B99" w14:textId="40C73C20" w:rsidTr="00311A1C">
        <w:trPr>
          <w:gridAfter w:val="1"/>
          <w:wAfter w:w="7" w:type="dxa"/>
          <w:trHeight w:val="20"/>
        </w:trPr>
        <w:tc>
          <w:tcPr>
            <w:tcW w:w="2694" w:type="dxa"/>
            <w:vMerge/>
            <w:tcBorders>
              <w:top w:val="single" w:sz="8" w:space="0" w:color="auto"/>
              <w:left w:val="single" w:sz="8" w:space="0" w:color="auto"/>
              <w:bottom w:val="single" w:sz="8" w:space="0" w:color="auto"/>
              <w:right w:val="single" w:sz="8" w:space="0" w:color="auto"/>
            </w:tcBorders>
            <w:vAlign w:val="center"/>
            <w:hideMark/>
          </w:tcPr>
          <w:p w14:paraId="2007EEB4" w14:textId="028B6952" w:rsidR="00014C1A" w:rsidRDefault="00014C1A"/>
        </w:tc>
        <w:tc>
          <w:tcPr>
            <w:tcW w:w="1184" w:type="dxa"/>
            <w:vMerge/>
            <w:tcBorders>
              <w:top w:val="single" w:sz="8" w:space="0" w:color="auto"/>
              <w:left w:val="nil"/>
              <w:bottom w:val="single" w:sz="8" w:space="0" w:color="auto"/>
              <w:right w:val="single" w:sz="8" w:space="0" w:color="auto"/>
            </w:tcBorders>
            <w:vAlign w:val="center"/>
            <w:hideMark/>
          </w:tcPr>
          <w:p w14:paraId="6B5D2616" w14:textId="3954312D" w:rsidR="00014C1A" w:rsidRDefault="00014C1A"/>
        </w:tc>
        <w:tc>
          <w:tcPr>
            <w:tcW w:w="1101" w:type="dxa"/>
            <w:tcBorders>
              <w:top w:val="nil"/>
              <w:left w:val="nil"/>
              <w:bottom w:val="single" w:sz="8" w:space="0" w:color="auto"/>
              <w:right w:val="single" w:sz="8" w:space="0" w:color="auto"/>
            </w:tcBorders>
            <w:tcMar>
              <w:top w:w="0" w:type="dxa"/>
              <w:left w:w="40" w:type="dxa"/>
              <w:bottom w:w="0" w:type="dxa"/>
              <w:right w:w="40" w:type="dxa"/>
            </w:tcMar>
            <w:hideMark/>
          </w:tcPr>
          <w:p w14:paraId="6F8B0AC2" w14:textId="13A80F83" w:rsidR="00014C1A" w:rsidRDefault="00003B0B">
            <w:pPr>
              <w:jc w:val="center"/>
            </w:pPr>
            <w:r>
              <w:rPr>
                <w:b/>
                <w:bCs/>
              </w:rPr>
              <w:t>ИП</w:t>
            </w:r>
          </w:p>
        </w:tc>
        <w:tc>
          <w:tcPr>
            <w:tcW w:w="1342" w:type="dxa"/>
            <w:tcBorders>
              <w:top w:val="nil"/>
              <w:left w:val="nil"/>
              <w:bottom w:val="single" w:sz="8" w:space="0" w:color="auto"/>
              <w:right w:val="single" w:sz="8" w:space="0" w:color="auto"/>
            </w:tcBorders>
            <w:tcMar>
              <w:top w:w="0" w:type="dxa"/>
              <w:left w:w="40" w:type="dxa"/>
              <w:bottom w:w="0" w:type="dxa"/>
              <w:right w:w="40" w:type="dxa"/>
            </w:tcMar>
            <w:hideMark/>
          </w:tcPr>
          <w:p w14:paraId="44289C8D" w14:textId="77C8EAF2" w:rsidR="00014C1A" w:rsidRDefault="00003B0B">
            <w:pPr>
              <w:jc w:val="center"/>
            </w:pPr>
            <w:r>
              <w:rPr>
                <w:b/>
                <w:bCs/>
              </w:rPr>
              <w:t>КХ</w:t>
            </w:r>
          </w:p>
        </w:tc>
        <w:tc>
          <w:tcPr>
            <w:tcW w:w="1506" w:type="dxa"/>
            <w:tcBorders>
              <w:top w:val="nil"/>
              <w:left w:val="nil"/>
              <w:bottom w:val="single" w:sz="8" w:space="0" w:color="auto"/>
              <w:right w:val="single" w:sz="8" w:space="0" w:color="auto"/>
            </w:tcBorders>
            <w:tcMar>
              <w:top w:w="0" w:type="dxa"/>
              <w:left w:w="40" w:type="dxa"/>
              <w:bottom w:w="0" w:type="dxa"/>
              <w:right w:w="40" w:type="dxa"/>
            </w:tcMar>
            <w:hideMark/>
          </w:tcPr>
          <w:p w14:paraId="650AB299" w14:textId="4185962F" w:rsidR="00014C1A" w:rsidRDefault="00003B0B">
            <w:pPr>
              <w:jc w:val="center"/>
            </w:pPr>
            <w:r>
              <w:rPr>
                <w:b/>
                <w:bCs/>
              </w:rPr>
              <w:t>Малые предприятия</w:t>
            </w:r>
          </w:p>
        </w:tc>
        <w:tc>
          <w:tcPr>
            <w:tcW w:w="1506" w:type="dxa"/>
            <w:tcBorders>
              <w:top w:val="nil"/>
              <w:left w:val="nil"/>
              <w:bottom w:val="single" w:sz="8" w:space="0" w:color="auto"/>
              <w:right w:val="single" w:sz="8" w:space="0" w:color="auto"/>
            </w:tcBorders>
            <w:tcMar>
              <w:top w:w="0" w:type="dxa"/>
              <w:left w:w="40" w:type="dxa"/>
              <w:bottom w:w="0" w:type="dxa"/>
              <w:right w:w="40" w:type="dxa"/>
            </w:tcMar>
            <w:hideMark/>
          </w:tcPr>
          <w:p w14:paraId="66728E91" w14:textId="5F4A4F0B" w:rsidR="00014C1A" w:rsidRDefault="00003B0B">
            <w:pPr>
              <w:jc w:val="center"/>
            </w:pPr>
            <w:r>
              <w:rPr>
                <w:b/>
                <w:bCs/>
              </w:rPr>
              <w:t>Средние предприятия</w:t>
            </w:r>
          </w:p>
        </w:tc>
      </w:tr>
      <w:tr w:rsidR="00014C1A" w14:paraId="736C68B3" w14:textId="486A0E4E" w:rsidTr="00311A1C">
        <w:trPr>
          <w:gridAfter w:val="1"/>
          <w:wAfter w:w="7" w:type="dxa"/>
          <w:trHeight w:val="20"/>
        </w:trPr>
        <w:tc>
          <w:tcPr>
            <w:tcW w:w="2694"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14:paraId="0FFF3E24" w14:textId="4888BF57" w:rsidR="00014C1A" w:rsidRDefault="00003B0B">
            <w:r>
              <w:t>Средняя численность работников, человек</w:t>
            </w:r>
          </w:p>
        </w:tc>
        <w:tc>
          <w:tcPr>
            <w:tcW w:w="1184" w:type="dxa"/>
            <w:tcBorders>
              <w:top w:val="nil"/>
              <w:left w:val="nil"/>
              <w:bottom w:val="single" w:sz="8" w:space="0" w:color="auto"/>
              <w:right w:val="single" w:sz="8" w:space="0" w:color="auto"/>
            </w:tcBorders>
            <w:tcMar>
              <w:top w:w="0" w:type="dxa"/>
              <w:left w:w="40" w:type="dxa"/>
              <w:bottom w:w="0" w:type="dxa"/>
              <w:right w:w="40" w:type="dxa"/>
            </w:tcMar>
            <w:hideMark/>
          </w:tcPr>
          <w:p w14:paraId="4DFFB196" w14:textId="1FC0224D" w:rsidR="00014C1A" w:rsidRDefault="00E83316">
            <w:pPr>
              <w:jc w:val="center"/>
            </w:pPr>
            <w:r>
              <w:t>2,4</w:t>
            </w:r>
          </w:p>
        </w:tc>
        <w:tc>
          <w:tcPr>
            <w:tcW w:w="1101" w:type="dxa"/>
            <w:tcBorders>
              <w:top w:val="nil"/>
              <w:left w:val="nil"/>
              <w:bottom w:val="single" w:sz="8" w:space="0" w:color="auto"/>
              <w:right w:val="single" w:sz="8" w:space="0" w:color="auto"/>
            </w:tcBorders>
            <w:tcMar>
              <w:top w:w="0" w:type="dxa"/>
              <w:left w:w="40" w:type="dxa"/>
              <w:bottom w:w="0" w:type="dxa"/>
              <w:right w:w="40" w:type="dxa"/>
            </w:tcMar>
            <w:hideMark/>
          </w:tcPr>
          <w:p w14:paraId="654C9E68" w14:textId="28F0A22B" w:rsidR="00014C1A" w:rsidRDefault="00E83316">
            <w:pPr>
              <w:jc w:val="center"/>
            </w:pPr>
            <w:r>
              <w:t>1,5</w:t>
            </w:r>
          </w:p>
        </w:tc>
        <w:tc>
          <w:tcPr>
            <w:tcW w:w="1342" w:type="dxa"/>
            <w:tcBorders>
              <w:top w:val="nil"/>
              <w:left w:val="nil"/>
              <w:bottom w:val="single" w:sz="8" w:space="0" w:color="auto"/>
              <w:right w:val="single" w:sz="8" w:space="0" w:color="auto"/>
            </w:tcBorders>
            <w:tcMar>
              <w:top w:w="0" w:type="dxa"/>
              <w:left w:w="40" w:type="dxa"/>
              <w:bottom w:w="0" w:type="dxa"/>
              <w:right w:w="40" w:type="dxa"/>
            </w:tcMar>
            <w:hideMark/>
          </w:tcPr>
          <w:p w14:paraId="4765F098" w14:textId="328A0458" w:rsidR="00014C1A" w:rsidRDefault="00E83316">
            <w:pPr>
              <w:jc w:val="center"/>
            </w:pPr>
            <w:r>
              <w:t>1,4</w:t>
            </w:r>
          </w:p>
        </w:tc>
        <w:tc>
          <w:tcPr>
            <w:tcW w:w="1506" w:type="dxa"/>
            <w:tcBorders>
              <w:top w:val="nil"/>
              <w:left w:val="nil"/>
              <w:bottom w:val="single" w:sz="8" w:space="0" w:color="auto"/>
              <w:right w:val="single" w:sz="8" w:space="0" w:color="auto"/>
            </w:tcBorders>
            <w:tcMar>
              <w:top w:w="0" w:type="dxa"/>
              <w:left w:w="40" w:type="dxa"/>
              <w:bottom w:w="0" w:type="dxa"/>
              <w:right w:w="40" w:type="dxa"/>
            </w:tcMar>
            <w:hideMark/>
          </w:tcPr>
          <w:p w14:paraId="2CCBD7E1" w14:textId="73D56AB3" w:rsidR="00014C1A" w:rsidRDefault="00E83316">
            <w:pPr>
              <w:jc w:val="center"/>
            </w:pPr>
            <w:r>
              <w:t>4,8</w:t>
            </w:r>
          </w:p>
        </w:tc>
        <w:tc>
          <w:tcPr>
            <w:tcW w:w="1506" w:type="dxa"/>
            <w:tcBorders>
              <w:top w:val="nil"/>
              <w:left w:val="nil"/>
              <w:bottom w:val="single" w:sz="8" w:space="0" w:color="auto"/>
              <w:right w:val="single" w:sz="8" w:space="0" w:color="auto"/>
            </w:tcBorders>
            <w:tcMar>
              <w:top w:w="0" w:type="dxa"/>
              <w:left w:w="40" w:type="dxa"/>
              <w:bottom w:w="0" w:type="dxa"/>
              <w:right w:w="40" w:type="dxa"/>
            </w:tcMar>
            <w:hideMark/>
          </w:tcPr>
          <w:p w14:paraId="2325925B" w14:textId="5D6B40D9" w:rsidR="00014C1A" w:rsidRDefault="00003B0B" w:rsidP="00E83316">
            <w:pPr>
              <w:jc w:val="center"/>
            </w:pPr>
            <w:r>
              <w:t>12</w:t>
            </w:r>
            <w:r w:rsidR="00E83316">
              <w:t>7,1</w:t>
            </w:r>
          </w:p>
        </w:tc>
      </w:tr>
      <w:tr w:rsidR="00014C1A" w14:paraId="3731432B" w14:textId="25E0F820" w:rsidTr="00311A1C">
        <w:trPr>
          <w:gridAfter w:val="1"/>
          <w:wAfter w:w="7" w:type="dxa"/>
          <w:trHeight w:val="20"/>
        </w:trPr>
        <w:tc>
          <w:tcPr>
            <w:tcW w:w="2694"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14:paraId="20F98B59" w14:textId="76A3AD5B" w:rsidR="00014C1A" w:rsidRDefault="00003B0B" w:rsidP="00E83316">
            <w:r>
              <w:t>Среднегодовой выпуск продукции / выручка, млн тенге</w:t>
            </w:r>
          </w:p>
        </w:tc>
        <w:tc>
          <w:tcPr>
            <w:tcW w:w="1184" w:type="dxa"/>
            <w:tcBorders>
              <w:top w:val="nil"/>
              <w:left w:val="nil"/>
              <w:bottom w:val="single" w:sz="8" w:space="0" w:color="auto"/>
              <w:right w:val="single" w:sz="8" w:space="0" w:color="auto"/>
            </w:tcBorders>
            <w:tcMar>
              <w:top w:w="0" w:type="dxa"/>
              <w:left w:w="40" w:type="dxa"/>
              <w:bottom w:w="0" w:type="dxa"/>
              <w:right w:w="40" w:type="dxa"/>
            </w:tcMar>
            <w:hideMark/>
          </w:tcPr>
          <w:p w14:paraId="2063939A" w14:textId="003E64D0" w:rsidR="00014C1A" w:rsidRDefault="00E83316">
            <w:pPr>
              <w:jc w:val="center"/>
            </w:pPr>
            <w:r>
              <w:t>29,9</w:t>
            </w:r>
          </w:p>
        </w:tc>
        <w:tc>
          <w:tcPr>
            <w:tcW w:w="1101" w:type="dxa"/>
            <w:tcBorders>
              <w:top w:val="nil"/>
              <w:left w:val="nil"/>
              <w:bottom w:val="single" w:sz="8" w:space="0" w:color="auto"/>
              <w:right w:val="single" w:sz="8" w:space="0" w:color="auto"/>
            </w:tcBorders>
            <w:tcMar>
              <w:top w:w="0" w:type="dxa"/>
              <w:left w:w="40" w:type="dxa"/>
              <w:bottom w:w="0" w:type="dxa"/>
              <w:right w:w="40" w:type="dxa"/>
            </w:tcMar>
            <w:hideMark/>
          </w:tcPr>
          <w:p w14:paraId="27222C40" w14:textId="74AE30A3" w:rsidR="00014C1A" w:rsidRDefault="00E83316">
            <w:pPr>
              <w:jc w:val="center"/>
            </w:pPr>
            <w:r>
              <w:t>3,8</w:t>
            </w:r>
          </w:p>
        </w:tc>
        <w:tc>
          <w:tcPr>
            <w:tcW w:w="1342" w:type="dxa"/>
            <w:tcBorders>
              <w:top w:val="nil"/>
              <w:left w:val="nil"/>
              <w:bottom w:val="single" w:sz="8" w:space="0" w:color="auto"/>
              <w:right w:val="single" w:sz="8" w:space="0" w:color="auto"/>
            </w:tcBorders>
            <w:tcMar>
              <w:top w:w="0" w:type="dxa"/>
              <w:left w:w="40" w:type="dxa"/>
              <w:bottom w:w="0" w:type="dxa"/>
              <w:right w:w="40" w:type="dxa"/>
            </w:tcMar>
            <w:hideMark/>
          </w:tcPr>
          <w:p w14:paraId="65085AA8" w14:textId="598CDC71" w:rsidR="00014C1A" w:rsidRDefault="00E83316">
            <w:pPr>
              <w:jc w:val="center"/>
            </w:pPr>
            <w:r>
              <w:t>10,4</w:t>
            </w:r>
          </w:p>
        </w:tc>
        <w:tc>
          <w:tcPr>
            <w:tcW w:w="1506" w:type="dxa"/>
            <w:tcBorders>
              <w:top w:val="nil"/>
              <w:left w:val="nil"/>
              <w:bottom w:val="single" w:sz="8" w:space="0" w:color="auto"/>
              <w:right w:val="single" w:sz="8" w:space="0" w:color="auto"/>
            </w:tcBorders>
            <w:tcMar>
              <w:top w:w="0" w:type="dxa"/>
              <w:left w:w="40" w:type="dxa"/>
              <w:bottom w:w="0" w:type="dxa"/>
              <w:right w:w="40" w:type="dxa"/>
            </w:tcMar>
            <w:hideMark/>
          </w:tcPr>
          <w:p w14:paraId="0C8ABCD8" w14:textId="0BF1D39D" w:rsidR="00014C1A" w:rsidRDefault="00E83316">
            <w:pPr>
              <w:jc w:val="center"/>
            </w:pPr>
            <w:r>
              <w:t>98,3</w:t>
            </w:r>
          </w:p>
        </w:tc>
        <w:tc>
          <w:tcPr>
            <w:tcW w:w="1506" w:type="dxa"/>
            <w:tcBorders>
              <w:top w:val="nil"/>
              <w:left w:val="nil"/>
              <w:bottom w:val="single" w:sz="8" w:space="0" w:color="auto"/>
              <w:right w:val="single" w:sz="8" w:space="0" w:color="auto"/>
            </w:tcBorders>
            <w:tcMar>
              <w:top w:w="0" w:type="dxa"/>
              <w:left w:w="40" w:type="dxa"/>
              <w:bottom w:w="0" w:type="dxa"/>
              <w:right w:w="40" w:type="dxa"/>
            </w:tcMar>
            <w:hideMark/>
          </w:tcPr>
          <w:p w14:paraId="417B6DD4" w14:textId="574FEB7A" w:rsidR="00014C1A" w:rsidRDefault="00E83316">
            <w:pPr>
              <w:jc w:val="center"/>
            </w:pPr>
            <w:r>
              <w:t>2 778,6</w:t>
            </w:r>
          </w:p>
        </w:tc>
      </w:tr>
    </w:tbl>
    <w:p w14:paraId="00A38C51" w14:textId="031991B7" w:rsidR="00014C1A" w:rsidRDefault="00003B0B" w:rsidP="00311A1C">
      <w:pPr>
        <w:ind w:firstLine="426"/>
        <w:jc w:val="both"/>
        <w:rPr>
          <w:i/>
          <w:iCs/>
        </w:rPr>
      </w:pPr>
      <w:r>
        <w:rPr>
          <w:i/>
          <w:iCs/>
        </w:rPr>
        <w:t xml:space="preserve">Источник: </w:t>
      </w:r>
      <w:r w:rsidR="00555EFF" w:rsidRPr="00157C5C">
        <w:rPr>
          <w:i/>
          <w:iCs/>
          <w:color w:val="auto"/>
        </w:rPr>
        <w:t>Бюро национальной статистики Агентства по стратегическому планированию и реформам РК</w:t>
      </w:r>
      <w:r>
        <w:rPr>
          <w:i/>
          <w:iCs/>
        </w:rPr>
        <w:t xml:space="preserve"> (</w:t>
      </w:r>
      <w:hyperlink r:id="rId22" w:history="1">
        <w:r w:rsidR="00555EFF" w:rsidRPr="0022222C">
          <w:rPr>
            <w:rStyle w:val="a5"/>
            <w:i/>
            <w:iCs/>
            <w:lang w:val="en-US"/>
          </w:rPr>
          <w:t>www</w:t>
        </w:r>
        <w:r w:rsidR="00555EFF" w:rsidRPr="0022222C">
          <w:rPr>
            <w:rStyle w:val="a5"/>
            <w:i/>
            <w:iCs/>
          </w:rPr>
          <w:t>.</w:t>
        </w:r>
        <w:r w:rsidR="00555EFF" w:rsidRPr="0022222C">
          <w:rPr>
            <w:rStyle w:val="a5"/>
            <w:i/>
            <w:iCs/>
            <w:lang w:val="en-US"/>
          </w:rPr>
          <w:t>stat</w:t>
        </w:r>
        <w:r w:rsidR="00555EFF" w:rsidRPr="0022222C">
          <w:rPr>
            <w:rStyle w:val="a5"/>
            <w:i/>
            <w:iCs/>
          </w:rPr>
          <w:t>.</w:t>
        </w:r>
        <w:r w:rsidR="00555EFF" w:rsidRPr="0022222C">
          <w:rPr>
            <w:rStyle w:val="a5"/>
            <w:i/>
            <w:iCs/>
            <w:lang w:val="en-US"/>
          </w:rPr>
          <w:t>gov</w:t>
        </w:r>
        <w:r w:rsidR="00555EFF" w:rsidRPr="0022222C">
          <w:rPr>
            <w:rStyle w:val="a5"/>
            <w:i/>
            <w:iCs/>
          </w:rPr>
          <w:t>.</w:t>
        </w:r>
        <w:r w:rsidR="00555EFF" w:rsidRPr="0022222C">
          <w:rPr>
            <w:rStyle w:val="a5"/>
            <w:i/>
            <w:iCs/>
            <w:lang w:val="en-US"/>
          </w:rPr>
          <w:t>kz</w:t>
        </w:r>
      </w:hyperlink>
      <w:r>
        <w:rPr>
          <w:i/>
          <w:iCs/>
        </w:rPr>
        <w:t>)</w:t>
      </w:r>
    </w:p>
    <w:p w14:paraId="5D19140B" w14:textId="77777777" w:rsidR="00555EFF" w:rsidRDefault="00555EFF">
      <w:pPr>
        <w:ind w:firstLine="426"/>
        <w:jc w:val="center"/>
      </w:pPr>
    </w:p>
    <w:p w14:paraId="56BB0E36" w14:textId="13A73BC9" w:rsidR="00014C1A" w:rsidRPr="00A2251D" w:rsidRDefault="00003B0B">
      <w:pPr>
        <w:ind w:firstLine="426"/>
        <w:jc w:val="both"/>
      </w:pPr>
      <w:r w:rsidRPr="00A2251D">
        <w:t>В целом с 2010 года растет количество как субъектов без образования юридического лица (ИП и КХ), так и юридических лиц ММСП. В структуре субъектов ММСП по организационно-правовым формам наблюдаются две особенности. Во-первых, по-прежнему преобладают ИП и КХ с долей более 7</w:t>
      </w:r>
      <w:r w:rsidR="00CE58DF" w:rsidRPr="00A2251D">
        <w:t>5</w:t>
      </w:r>
      <w:r w:rsidRPr="00A2251D">
        <w:t xml:space="preserve">% от общего количества зарегистрированных субъектов ММСП. Во-вторых, удельный вес юридических лиц ММСП за последние годы вырос на </w:t>
      </w:r>
      <w:r w:rsidR="00CE58DF" w:rsidRPr="00A2251D">
        <w:t>6,8</w:t>
      </w:r>
      <w:r w:rsidRPr="00A2251D">
        <w:t xml:space="preserve"> процентных пункта</w:t>
      </w:r>
      <w:r w:rsidR="00595F51" w:rsidRPr="00A2251D">
        <w:t xml:space="preserve"> </w:t>
      </w:r>
      <w:r w:rsidRPr="00A2251D">
        <w:t>- с 18,1% до 2</w:t>
      </w:r>
      <w:r w:rsidR="00CE58DF" w:rsidRPr="00A2251D">
        <w:t>4,9</w:t>
      </w:r>
      <w:r w:rsidRPr="00A2251D">
        <w:t>%. Это может свидетельствовать о качественном институциональном развитии малого бизнеса, как за счет создания новых юридических лиц малого бизнеса, так и за счет перерегистрации индивидуальных предпринимателей в форму ТОО, которая имеет преимущества в части разделения ответственности между владельцем и компанией, найма персонала, привлечения партнеров и акционеров, репутации и т.д.</w:t>
      </w:r>
    </w:p>
    <w:p w14:paraId="611D0120" w14:textId="77777777" w:rsidR="00014C1A" w:rsidRDefault="00003B0B">
      <w:pPr>
        <w:ind w:firstLine="426"/>
        <w:jc w:val="both"/>
      </w:pPr>
      <w:r w:rsidRPr="00A2251D">
        <w:t>Поддержка Фонда «Даму» также будет направлена на инструменты поддержки ориентированные на микро предпринимателей, начинающих предпринимателей, в том числе молодых начинающих предпринимателей, для которых важны упрощённые процедуры получения финансирования, так и инструменты для действующих предпринимателей, реализующих долгосрочные инвестиционные проекты.</w:t>
      </w:r>
    </w:p>
    <w:p w14:paraId="30C10024" w14:textId="77777777" w:rsidR="00014C1A" w:rsidRDefault="00003B0B">
      <w:pPr>
        <w:ind w:firstLine="426"/>
        <w:jc w:val="both"/>
      </w:pPr>
      <w:r>
        <w:t> </w:t>
      </w:r>
    </w:p>
    <w:p w14:paraId="772F44E9" w14:textId="77777777" w:rsidR="00014C1A" w:rsidRDefault="00003B0B">
      <w:pPr>
        <w:ind w:firstLine="426"/>
        <w:jc w:val="center"/>
      </w:pPr>
      <w:r>
        <w:rPr>
          <w:b/>
          <w:bCs/>
        </w:rPr>
        <w:t>Структура субъектов ММСП по организационно-правовым формам</w:t>
      </w:r>
    </w:p>
    <w:p w14:paraId="7AD0DE39" w14:textId="6D1950F7" w:rsidR="00014C1A" w:rsidRDefault="00003B0B">
      <w:pPr>
        <w:ind w:firstLine="426"/>
        <w:jc w:val="center"/>
      </w:pPr>
      <w:r>
        <w:rPr>
          <w:i/>
          <w:iCs/>
        </w:rPr>
        <w:t> </w:t>
      </w:r>
      <w:r w:rsidR="00CE58DF" w:rsidRPr="00311A1C">
        <w:rPr>
          <w:noProof/>
          <w:color w:val="00B050"/>
        </w:rPr>
        <w:drawing>
          <wp:inline distT="0" distB="0" distL="0" distR="0" wp14:anchorId="433022B4" wp14:editId="096C59BC">
            <wp:extent cx="5940425" cy="1711878"/>
            <wp:effectExtent l="0" t="0" r="3175" b="3175"/>
            <wp:docPr id="22" name="Диаграмма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9EA3ABA" w14:textId="657D529F" w:rsidR="00014C1A" w:rsidRPr="00FA1C49" w:rsidRDefault="00003B0B">
      <w:pPr>
        <w:ind w:firstLine="426"/>
        <w:jc w:val="center"/>
        <w:rPr>
          <w:color w:val="auto"/>
        </w:rPr>
      </w:pPr>
      <w:r w:rsidRPr="00FA1C49">
        <w:rPr>
          <w:i/>
          <w:iCs/>
          <w:color w:val="auto"/>
        </w:rPr>
        <w:t xml:space="preserve">Источник: </w:t>
      </w:r>
      <w:r w:rsidR="00555EFF" w:rsidRPr="00157C5C">
        <w:rPr>
          <w:i/>
          <w:iCs/>
          <w:color w:val="auto"/>
        </w:rPr>
        <w:t>Бюро национальной статистики Агентства по стратегическому планированию и реформам РК</w:t>
      </w:r>
      <w:r w:rsidR="00555EFF" w:rsidRPr="00FA1C49" w:rsidDel="00555EFF">
        <w:rPr>
          <w:i/>
          <w:color w:val="auto"/>
        </w:rPr>
        <w:t xml:space="preserve"> </w:t>
      </w:r>
      <w:r w:rsidR="00555EFF">
        <w:rPr>
          <w:i/>
          <w:color w:val="auto"/>
          <w:lang w:val="kk-KZ"/>
        </w:rPr>
        <w:t xml:space="preserve"> </w:t>
      </w:r>
      <w:r w:rsidRPr="00FA1C49">
        <w:rPr>
          <w:i/>
          <w:iCs/>
          <w:color w:val="auto"/>
        </w:rPr>
        <w:t>(</w:t>
      </w:r>
      <w:r w:rsidRPr="00FA1C49">
        <w:rPr>
          <w:i/>
          <w:iCs/>
          <w:color w:val="auto"/>
          <w:lang w:val="en-US"/>
        </w:rPr>
        <w:t>www</w:t>
      </w:r>
      <w:r w:rsidRPr="00FA1C49">
        <w:rPr>
          <w:i/>
          <w:iCs/>
          <w:color w:val="auto"/>
        </w:rPr>
        <w:t>.</w:t>
      </w:r>
      <w:r w:rsidRPr="00FA1C49">
        <w:rPr>
          <w:i/>
          <w:iCs/>
          <w:color w:val="auto"/>
          <w:lang w:val="en-US"/>
        </w:rPr>
        <w:t>stat</w:t>
      </w:r>
      <w:r w:rsidRPr="00FA1C49">
        <w:rPr>
          <w:i/>
          <w:iCs/>
          <w:color w:val="auto"/>
        </w:rPr>
        <w:t>.</w:t>
      </w:r>
      <w:r w:rsidRPr="00FA1C49">
        <w:rPr>
          <w:i/>
          <w:iCs/>
          <w:color w:val="auto"/>
          <w:lang w:val="en-US"/>
        </w:rPr>
        <w:t>gov</w:t>
      </w:r>
      <w:r w:rsidRPr="00FA1C49">
        <w:rPr>
          <w:i/>
          <w:iCs/>
          <w:color w:val="auto"/>
        </w:rPr>
        <w:t>.</w:t>
      </w:r>
      <w:r w:rsidRPr="00FA1C49">
        <w:rPr>
          <w:i/>
          <w:iCs/>
          <w:color w:val="auto"/>
          <w:lang w:val="en-US"/>
        </w:rPr>
        <w:t>kz</w:t>
      </w:r>
      <w:r w:rsidRPr="00FA1C49">
        <w:rPr>
          <w:i/>
          <w:iCs/>
          <w:color w:val="auto"/>
        </w:rPr>
        <w:t>)</w:t>
      </w:r>
    </w:p>
    <w:p w14:paraId="69DBBB86" w14:textId="77777777" w:rsidR="00014C1A" w:rsidRPr="00FA1C49" w:rsidRDefault="00003B0B">
      <w:pPr>
        <w:ind w:firstLine="426"/>
        <w:jc w:val="center"/>
        <w:rPr>
          <w:color w:val="auto"/>
        </w:rPr>
      </w:pPr>
      <w:r w:rsidRPr="00FA1C49">
        <w:rPr>
          <w:color w:val="auto"/>
        </w:rPr>
        <w:t> </w:t>
      </w:r>
    </w:p>
    <w:p w14:paraId="6461D1BA" w14:textId="33D7EF14" w:rsidR="00014C1A" w:rsidRPr="00FA1C49" w:rsidRDefault="00003B0B">
      <w:pPr>
        <w:ind w:firstLine="426"/>
        <w:jc w:val="both"/>
        <w:rPr>
          <w:color w:val="auto"/>
        </w:rPr>
      </w:pPr>
      <w:r w:rsidRPr="00FA1C49">
        <w:rPr>
          <w:color w:val="auto"/>
        </w:rPr>
        <w:t> </w:t>
      </w:r>
      <w:r w:rsidRPr="00A2251D">
        <w:rPr>
          <w:color w:val="auto"/>
        </w:rPr>
        <w:t xml:space="preserve">В отраслевой структуре субъектов ММСП за </w:t>
      </w:r>
      <w:r w:rsidR="00CE58DF" w:rsidRPr="00C6079F">
        <w:rPr>
          <w:color w:val="auto"/>
        </w:rPr>
        <w:t xml:space="preserve">10 </w:t>
      </w:r>
      <w:r w:rsidRPr="00A2251D">
        <w:rPr>
          <w:color w:val="auto"/>
        </w:rPr>
        <w:t xml:space="preserve">лет наблюдается </w:t>
      </w:r>
      <w:r w:rsidR="00CE58DF" w:rsidRPr="00A2251D">
        <w:rPr>
          <w:color w:val="auto"/>
        </w:rPr>
        <w:t xml:space="preserve">рост </w:t>
      </w:r>
      <w:r w:rsidRPr="00A2251D">
        <w:rPr>
          <w:color w:val="auto"/>
        </w:rPr>
        <w:t xml:space="preserve">доли компаний, осуществляющих деятельность в приоритетных секторах экономики, определённых </w:t>
      </w:r>
      <w:r w:rsidR="00514B00" w:rsidRPr="00514B00">
        <w:t>программами, реализуемыми Фондом</w:t>
      </w:r>
      <w:r w:rsidRPr="00A2251D">
        <w:rPr>
          <w:color w:val="auto"/>
        </w:rPr>
        <w:t xml:space="preserve">. </w:t>
      </w:r>
      <w:r w:rsidR="005C1B29" w:rsidRPr="00A2251D">
        <w:rPr>
          <w:color w:val="auto"/>
        </w:rPr>
        <w:t>Э</w:t>
      </w:r>
      <w:r w:rsidRPr="00A2251D">
        <w:rPr>
          <w:color w:val="auto"/>
        </w:rPr>
        <w:t xml:space="preserve">тот результат сложился из-за </w:t>
      </w:r>
      <w:r w:rsidR="005C1B29" w:rsidRPr="00A2251D">
        <w:rPr>
          <w:color w:val="auto"/>
        </w:rPr>
        <w:t xml:space="preserve">роста доли </w:t>
      </w:r>
      <w:r w:rsidRPr="00A2251D">
        <w:rPr>
          <w:color w:val="auto"/>
        </w:rPr>
        <w:t xml:space="preserve">ИП в </w:t>
      </w:r>
      <w:r w:rsidRPr="00A2251D">
        <w:rPr>
          <w:color w:val="auto"/>
        </w:rPr>
        <w:lastRenderedPageBreak/>
        <w:t xml:space="preserve">приоритетных секторах, тогда как и количество, и доля юридических лиц ММСП в приоритетных секторах экономики за </w:t>
      </w:r>
      <w:r w:rsidR="005C1B29" w:rsidRPr="00A2251D">
        <w:rPr>
          <w:color w:val="auto"/>
        </w:rPr>
        <w:t xml:space="preserve">10 </w:t>
      </w:r>
      <w:r w:rsidRPr="00A2251D">
        <w:rPr>
          <w:color w:val="auto"/>
        </w:rPr>
        <w:t xml:space="preserve">лет </w:t>
      </w:r>
      <w:r w:rsidR="005C1B29" w:rsidRPr="00A2251D">
        <w:rPr>
          <w:color w:val="auto"/>
        </w:rPr>
        <w:t>снизились</w:t>
      </w:r>
      <w:r w:rsidRPr="00A2251D">
        <w:rPr>
          <w:color w:val="auto"/>
        </w:rPr>
        <w:t>.</w:t>
      </w:r>
      <w:r w:rsidR="002E0A67" w:rsidRPr="00A2251D">
        <w:rPr>
          <w:color w:val="auto"/>
        </w:rPr>
        <w:t xml:space="preserve"> Таким образом, индивидуальные предприниматели готовы направлять свои усилия не просто в бизнес, а в приоритетные отрасли.</w:t>
      </w:r>
    </w:p>
    <w:p w14:paraId="17B7C8E1" w14:textId="77777777" w:rsidR="00014C1A" w:rsidRPr="00FA1C49" w:rsidRDefault="00003B0B">
      <w:pPr>
        <w:ind w:firstLine="426"/>
        <w:jc w:val="both"/>
        <w:rPr>
          <w:color w:val="auto"/>
        </w:rPr>
      </w:pPr>
      <w:r w:rsidRPr="00FA1C49">
        <w:rPr>
          <w:b/>
          <w:bCs/>
          <w:color w:val="auto"/>
        </w:rPr>
        <w:t> </w:t>
      </w:r>
    </w:p>
    <w:p w14:paraId="00A22055" w14:textId="77777777" w:rsidR="00014C1A" w:rsidRPr="00925439" w:rsidRDefault="00003B0B">
      <w:pPr>
        <w:ind w:firstLine="426"/>
        <w:jc w:val="center"/>
      </w:pPr>
      <w:r w:rsidRPr="00925439">
        <w:rPr>
          <w:b/>
          <w:bCs/>
        </w:rPr>
        <w:t>Распределение субъектов ММСП между приоритетными и прочими секторами</w:t>
      </w:r>
    </w:p>
    <w:p w14:paraId="23DA72A0" w14:textId="2A794B9C" w:rsidR="00014C1A" w:rsidRPr="00925439" w:rsidRDefault="00003B0B">
      <w:pPr>
        <w:ind w:firstLine="426"/>
        <w:jc w:val="center"/>
      </w:pPr>
      <w:r w:rsidRPr="00925439">
        <w:t> </w:t>
      </w:r>
      <w:r w:rsidRPr="00925439">
        <w:rPr>
          <w:i/>
          <w:iCs/>
        </w:rPr>
        <w:t> </w:t>
      </w:r>
      <w:r w:rsidR="002E0A67" w:rsidRPr="00311A1C">
        <w:rPr>
          <w:noProof/>
          <w:color w:val="00B050"/>
        </w:rPr>
        <w:drawing>
          <wp:inline distT="0" distB="0" distL="0" distR="0" wp14:anchorId="47B409B9" wp14:editId="3169C242">
            <wp:extent cx="5940425" cy="1710029"/>
            <wp:effectExtent l="0" t="0" r="3175" b="5080"/>
            <wp:docPr id="23" name="Диаграмма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E6C2564" w14:textId="17C23897" w:rsidR="00014C1A" w:rsidRPr="00925439" w:rsidRDefault="00003B0B">
      <w:pPr>
        <w:ind w:firstLine="426"/>
        <w:jc w:val="center"/>
        <w:rPr>
          <w:color w:val="auto"/>
        </w:rPr>
      </w:pPr>
      <w:r w:rsidRPr="00925439">
        <w:rPr>
          <w:i/>
          <w:iCs/>
          <w:color w:val="auto"/>
        </w:rPr>
        <w:t xml:space="preserve">Источник: </w:t>
      </w:r>
      <w:r w:rsidR="00555EFF" w:rsidRPr="00157C5C">
        <w:rPr>
          <w:i/>
          <w:iCs/>
          <w:color w:val="auto"/>
        </w:rPr>
        <w:t>Бюро национальной статистики Агентства по стратегическому планированию и реформам РК</w:t>
      </w:r>
      <w:r w:rsidR="002E0A67" w:rsidRPr="00925439">
        <w:rPr>
          <w:i/>
          <w:color w:val="auto"/>
        </w:rPr>
        <w:t xml:space="preserve"> </w:t>
      </w:r>
      <w:r w:rsidRPr="00925439">
        <w:rPr>
          <w:i/>
          <w:iCs/>
          <w:color w:val="auto"/>
        </w:rPr>
        <w:t>(</w:t>
      </w:r>
      <w:r w:rsidRPr="00925439">
        <w:rPr>
          <w:i/>
          <w:iCs/>
          <w:color w:val="auto"/>
          <w:lang w:val="en-US"/>
        </w:rPr>
        <w:t>www</w:t>
      </w:r>
      <w:r w:rsidRPr="00925439">
        <w:rPr>
          <w:i/>
          <w:iCs/>
          <w:color w:val="auto"/>
        </w:rPr>
        <w:t>.</w:t>
      </w:r>
      <w:r w:rsidRPr="00925439">
        <w:rPr>
          <w:i/>
          <w:iCs/>
          <w:color w:val="auto"/>
          <w:lang w:val="en-US"/>
        </w:rPr>
        <w:t>stat</w:t>
      </w:r>
      <w:r w:rsidRPr="00925439">
        <w:rPr>
          <w:i/>
          <w:iCs/>
          <w:color w:val="auto"/>
        </w:rPr>
        <w:t>.</w:t>
      </w:r>
      <w:r w:rsidRPr="00925439">
        <w:rPr>
          <w:i/>
          <w:iCs/>
          <w:color w:val="auto"/>
          <w:lang w:val="en-US"/>
        </w:rPr>
        <w:t>gov</w:t>
      </w:r>
      <w:r w:rsidRPr="00925439">
        <w:rPr>
          <w:i/>
          <w:iCs/>
          <w:color w:val="auto"/>
        </w:rPr>
        <w:t>.</w:t>
      </w:r>
      <w:r w:rsidRPr="00925439">
        <w:rPr>
          <w:i/>
          <w:iCs/>
          <w:color w:val="auto"/>
          <w:lang w:val="en-US"/>
        </w:rPr>
        <w:t>kz</w:t>
      </w:r>
      <w:r w:rsidRPr="00925439">
        <w:rPr>
          <w:i/>
          <w:iCs/>
          <w:color w:val="auto"/>
        </w:rPr>
        <w:t>)</w:t>
      </w:r>
    </w:p>
    <w:p w14:paraId="65E328D2" w14:textId="77777777" w:rsidR="00014C1A" w:rsidRPr="00925439" w:rsidRDefault="00003B0B">
      <w:pPr>
        <w:ind w:firstLine="426"/>
        <w:jc w:val="center"/>
        <w:rPr>
          <w:color w:val="auto"/>
        </w:rPr>
      </w:pPr>
      <w:r w:rsidRPr="00925439">
        <w:rPr>
          <w:color w:val="auto"/>
        </w:rPr>
        <w:t> </w:t>
      </w:r>
    </w:p>
    <w:p w14:paraId="1B81A6EB" w14:textId="7DA0F4D4" w:rsidR="00014C1A" w:rsidRPr="00925439" w:rsidRDefault="00003B0B">
      <w:pPr>
        <w:ind w:firstLine="426"/>
        <w:jc w:val="both"/>
      </w:pPr>
      <w:r w:rsidRPr="00925439">
        <w:rPr>
          <w:color w:val="auto"/>
        </w:rPr>
        <w:t xml:space="preserve">Наиболее очевидным способом увеличения вклада ММСП в ВВП является рост предприятий в секторах по производству товаров. </w:t>
      </w:r>
      <w:r w:rsidR="00555EFF" w:rsidRPr="00311A1C">
        <w:rPr>
          <w:color w:val="auto"/>
        </w:rPr>
        <w:t xml:space="preserve">При этом деятельность в сфере строительства в структуре Холдинга осуществляют </w:t>
      </w:r>
      <w:r w:rsidR="00555EFF" w:rsidRPr="00311A1C">
        <w:rPr>
          <w:b/>
          <w:color w:val="auto"/>
        </w:rPr>
        <w:t>АО «Казахстанская Жилищная Компания» и АО «Жилищный строительный сберегательный банк «Отбасы банк» (JSBN).</w:t>
      </w:r>
      <w:r w:rsidRPr="00311A1C">
        <w:rPr>
          <w:b/>
          <w:color w:val="auto"/>
        </w:rPr>
        <w:t xml:space="preserve"> </w:t>
      </w:r>
      <w:r w:rsidR="00E96ECC" w:rsidRPr="00925439">
        <w:rPr>
          <w:color w:val="auto"/>
        </w:rPr>
        <w:t>Также н</w:t>
      </w:r>
      <w:r w:rsidRPr="00925439">
        <w:rPr>
          <w:color w:val="auto"/>
        </w:rPr>
        <w:t xml:space="preserve">а поддержку сельского хозяйства регулярно выделяются средства </w:t>
      </w:r>
      <w:r w:rsidR="00843EE3" w:rsidRPr="00925439">
        <w:rPr>
          <w:color w:val="auto"/>
        </w:rPr>
        <w:t>в структуре Холдинга</w:t>
      </w:r>
      <w:r w:rsidRPr="00925439">
        <w:rPr>
          <w:color w:val="auto"/>
        </w:rPr>
        <w:t xml:space="preserve">. Поэтому Фонду «Даму» в рамках программ необходимо </w:t>
      </w:r>
      <w:r w:rsidRPr="00925439">
        <w:t>сохранять акцент на сектор обрабатывающей промышленности, предоставляя для него льготные условия по ставке, срокам финансирования и т.д., поощрять создание новых производств.</w:t>
      </w:r>
    </w:p>
    <w:p w14:paraId="57ED5552" w14:textId="77777777" w:rsidR="00014C1A" w:rsidRPr="00925439" w:rsidRDefault="00003B0B">
      <w:pPr>
        <w:ind w:firstLine="426"/>
        <w:jc w:val="both"/>
      </w:pPr>
      <w:r w:rsidRPr="00925439">
        <w:rPr>
          <w:b/>
          <w:bCs/>
        </w:rPr>
        <w:t> </w:t>
      </w:r>
    </w:p>
    <w:p w14:paraId="46EEFD5C" w14:textId="77777777" w:rsidR="00014C1A" w:rsidRPr="00925439" w:rsidRDefault="00003B0B">
      <w:pPr>
        <w:ind w:firstLine="426"/>
        <w:jc w:val="center"/>
      </w:pPr>
      <w:r w:rsidRPr="00925439">
        <w:rPr>
          <w:b/>
          <w:bCs/>
        </w:rPr>
        <w:t>Доля субъектов ММСП промышленности</w:t>
      </w:r>
    </w:p>
    <w:p w14:paraId="597A92B4" w14:textId="77777777" w:rsidR="00014C1A" w:rsidRPr="00925439" w:rsidRDefault="00003B0B">
      <w:pPr>
        <w:ind w:firstLine="426"/>
        <w:jc w:val="center"/>
      </w:pPr>
      <w:r w:rsidRPr="00925439">
        <w:t> </w:t>
      </w:r>
    </w:p>
    <w:p w14:paraId="113EB714" w14:textId="7E93E978" w:rsidR="00014C1A" w:rsidRPr="00925439" w:rsidRDefault="002E0A67" w:rsidP="00216239">
      <w:pPr>
        <w:jc w:val="center"/>
      </w:pPr>
      <w:r w:rsidRPr="00311A1C">
        <w:rPr>
          <w:noProof/>
          <w:color w:val="00B050"/>
        </w:rPr>
        <w:drawing>
          <wp:inline distT="0" distB="0" distL="0" distR="0" wp14:anchorId="5D53985D" wp14:editId="09FBD406">
            <wp:extent cx="5940425" cy="1745154"/>
            <wp:effectExtent l="0" t="0" r="3175" b="7620"/>
            <wp:docPr id="24" name="Диаграмма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E024259" w14:textId="3E523B07" w:rsidR="00014C1A" w:rsidRPr="00925439" w:rsidRDefault="00003B0B">
      <w:pPr>
        <w:ind w:firstLine="426"/>
        <w:jc w:val="center"/>
      </w:pPr>
      <w:r w:rsidRPr="00925439">
        <w:rPr>
          <w:i/>
          <w:iCs/>
        </w:rPr>
        <w:t xml:space="preserve">Источник: </w:t>
      </w:r>
      <w:r w:rsidR="00555EFF" w:rsidRPr="00311A1C">
        <w:rPr>
          <w:i/>
          <w:iCs/>
        </w:rPr>
        <w:t>Бюро национальной статистики Агентства по стратегическому планированию и реформам РК</w:t>
      </w:r>
      <w:r w:rsidRPr="00925439">
        <w:rPr>
          <w:i/>
          <w:iCs/>
          <w:color w:val="auto"/>
        </w:rPr>
        <w:t xml:space="preserve"> (</w:t>
      </w:r>
      <w:r w:rsidRPr="00925439">
        <w:rPr>
          <w:i/>
          <w:iCs/>
          <w:color w:val="auto"/>
          <w:lang w:val="en-US"/>
        </w:rPr>
        <w:t>www</w:t>
      </w:r>
      <w:r w:rsidRPr="00925439">
        <w:rPr>
          <w:i/>
          <w:iCs/>
        </w:rPr>
        <w:t>.</w:t>
      </w:r>
      <w:r w:rsidRPr="00925439">
        <w:rPr>
          <w:i/>
          <w:iCs/>
          <w:lang w:val="en-US"/>
        </w:rPr>
        <w:t>stat</w:t>
      </w:r>
      <w:r w:rsidRPr="00925439">
        <w:rPr>
          <w:i/>
          <w:iCs/>
        </w:rPr>
        <w:t>.</w:t>
      </w:r>
      <w:r w:rsidRPr="00925439">
        <w:rPr>
          <w:i/>
          <w:iCs/>
          <w:lang w:val="en-US"/>
        </w:rPr>
        <w:t>gov</w:t>
      </w:r>
      <w:r w:rsidRPr="00925439">
        <w:rPr>
          <w:i/>
          <w:iCs/>
        </w:rPr>
        <w:t>.</w:t>
      </w:r>
      <w:r w:rsidRPr="00925439">
        <w:rPr>
          <w:i/>
          <w:iCs/>
          <w:lang w:val="en-US"/>
        </w:rPr>
        <w:t>kz</w:t>
      </w:r>
      <w:r w:rsidRPr="00925439">
        <w:rPr>
          <w:i/>
          <w:iCs/>
        </w:rPr>
        <w:t>)</w:t>
      </w:r>
    </w:p>
    <w:p w14:paraId="27B82022" w14:textId="77777777" w:rsidR="00014C1A" w:rsidRPr="00925439" w:rsidRDefault="00003B0B">
      <w:pPr>
        <w:ind w:firstLine="426"/>
        <w:jc w:val="both"/>
      </w:pPr>
      <w:r w:rsidRPr="00925439">
        <w:t> </w:t>
      </w:r>
    </w:p>
    <w:p w14:paraId="5DB57CFC" w14:textId="5A41BB1F" w:rsidR="00014C1A" w:rsidRPr="00925439" w:rsidRDefault="00003B0B">
      <w:pPr>
        <w:ind w:firstLine="426"/>
        <w:jc w:val="both"/>
      </w:pPr>
      <w:r w:rsidRPr="00925439">
        <w:t>В социальном аспекте развития ММСП за последние годы примечательно увеличение доли субъектов ММСП под управлением женщин. С 201</w:t>
      </w:r>
      <w:r w:rsidR="002E0A67" w:rsidRPr="00925439">
        <w:t>0</w:t>
      </w:r>
      <w:r w:rsidRPr="00925439">
        <w:t xml:space="preserve"> года удельный вес</w:t>
      </w:r>
      <w:r w:rsidR="002E0A67" w:rsidRPr="00925439">
        <w:t xml:space="preserve"> женщин</w:t>
      </w:r>
      <w:r w:rsidRPr="00925439">
        <w:t xml:space="preserve"> в общем количестве субъектов ММСП вырос на </w:t>
      </w:r>
      <w:r w:rsidR="002E0A67" w:rsidRPr="00925439">
        <w:t>3,8</w:t>
      </w:r>
      <w:r w:rsidRPr="00925439">
        <w:t xml:space="preserve"> процентных пункта и достиг 4</w:t>
      </w:r>
      <w:r w:rsidR="002E0A67" w:rsidRPr="00925439">
        <w:t>2,</w:t>
      </w:r>
      <w:r w:rsidRPr="00925439">
        <w:t>3%.</w:t>
      </w:r>
    </w:p>
    <w:p w14:paraId="1688B813" w14:textId="77777777" w:rsidR="00014C1A" w:rsidRPr="00925439" w:rsidRDefault="00003B0B">
      <w:pPr>
        <w:ind w:firstLine="426"/>
        <w:jc w:val="both"/>
      </w:pPr>
      <w:r w:rsidRPr="00925439">
        <w:t>Женщины составляют большинство населения Казахстана, и рост их вклада в экономическое развитие страны, в том числе предпринимательство, закономерен. Государству и Фонду «Даму» необходимо продолжить реализацию программ, таргетированных на женщин в бизнесе.</w:t>
      </w:r>
    </w:p>
    <w:p w14:paraId="160A734B" w14:textId="77777777" w:rsidR="00014C1A" w:rsidRPr="00925439" w:rsidRDefault="00003B0B">
      <w:pPr>
        <w:ind w:firstLine="426"/>
        <w:jc w:val="both"/>
      </w:pPr>
      <w:r w:rsidRPr="00925439">
        <w:rPr>
          <w:b/>
          <w:bCs/>
        </w:rPr>
        <w:t> </w:t>
      </w:r>
    </w:p>
    <w:p w14:paraId="29F5B52D" w14:textId="26B47658" w:rsidR="00014C1A" w:rsidRPr="00925439" w:rsidRDefault="002E0A67" w:rsidP="00216239">
      <w:pPr>
        <w:jc w:val="center"/>
      </w:pPr>
      <w:r w:rsidRPr="00925439">
        <w:rPr>
          <w:b/>
          <w:bCs/>
        </w:rPr>
        <w:lastRenderedPageBreak/>
        <w:t>Г</w:t>
      </w:r>
      <w:r w:rsidR="00003B0B" w:rsidRPr="00925439">
        <w:rPr>
          <w:b/>
          <w:bCs/>
        </w:rPr>
        <w:t>ендерное распределение субъектов ММСП</w:t>
      </w:r>
    </w:p>
    <w:p w14:paraId="3B1251D9" w14:textId="786FB142" w:rsidR="00014C1A" w:rsidRDefault="00014C1A">
      <w:pPr>
        <w:ind w:firstLine="426"/>
        <w:jc w:val="center"/>
      </w:pPr>
    </w:p>
    <w:p w14:paraId="48DAB352" w14:textId="63D2E787" w:rsidR="00014C1A" w:rsidRDefault="002E0A67" w:rsidP="00216239">
      <w:pPr>
        <w:jc w:val="center"/>
      </w:pPr>
      <w:r w:rsidRPr="00311A1C">
        <w:rPr>
          <w:noProof/>
          <w:color w:val="00B050"/>
        </w:rPr>
        <w:drawing>
          <wp:inline distT="0" distB="0" distL="0" distR="0" wp14:anchorId="68038B96" wp14:editId="5FA75A94">
            <wp:extent cx="5940425" cy="1519615"/>
            <wp:effectExtent l="0" t="0" r="3175" b="4445"/>
            <wp:docPr id="25" name="Диаграмма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91E2131" w14:textId="52C7AB79" w:rsidR="00014C1A" w:rsidRPr="004618E7" w:rsidRDefault="00003B0B">
      <w:pPr>
        <w:ind w:firstLine="426"/>
        <w:jc w:val="center"/>
        <w:rPr>
          <w:color w:val="auto"/>
        </w:rPr>
      </w:pPr>
      <w:r w:rsidRPr="004618E7">
        <w:rPr>
          <w:i/>
          <w:iCs/>
          <w:color w:val="auto"/>
        </w:rPr>
        <w:t xml:space="preserve">Источник: </w:t>
      </w:r>
      <w:r w:rsidR="00293093" w:rsidRPr="00157C5C">
        <w:rPr>
          <w:i/>
          <w:iCs/>
        </w:rPr>
        <w:t>Бюро национальной статистики Агентства по стратегическому планированию и реформам РК</w:t>
      </w:r>
      <w:r w:rsidRPr="004618E7">
        <w:rPr>
          <w:i/>
          <w:iCs/>
          <w:color w:val="auto"/>
        </w:rPr>
        <w:t xml:space="preserve"> (</w:t>
      </w:r>
      <w:r w:rsidRPr="004618E7">
        <w:rPr>
          <w:i/>
          <w:iCs/>
          <w:color w:val="auto"/>
          <w:lang w:val="en-US"/>
        </w:rPr>
        <w:t>www</w:t>
      </w:r>
      <w:r w:rsidRPr="004618E7">
        <w:rPr>
          <w:i/>
          <w:iCs/>
          <w:color w:val="auto"/>
        </w:rPr>
        <w:t>.</w:t>
      </w:r>
      <w:r w:rsidRPr="004618E7">
        <w:rPr>
          <w:i/>
          <w:iCs/>
          <w:color w:val="auto"/>
          <w:lang w:val="en-US"/>
        </w:rPr>
        <w:t>stat</w:t>
      </w:r>
      <w:r w:rsidRPr="004618E7">
        <w:rPr>
          <w:i/>
          <w:iCs/>
          <w:color w:val="auto"/>
        </w:rPr>
        <w:t>.</w:t>
      </w:r>
      <w:r w:rsidRPr="004618E7">
        <w:rPr>
          <w:i/>
          <w:iCs/>
          <w:color w:val="auto"/>
          <w:lang w:val="en-US"/>
        </w:rPr>
        <w:t>gov</w:t>
      </w:r>
      <w:r w:rsidRPr="004618E7">
        <w:rPr>
          <w:i/>
          <w:iCs/>
          <w:color w:val="auto"/>
        </w:rPr>
        <w:t>.</w:t>
      </w:r>
      <w:r w:rsidRPr="004618E7">
        <w:rPr>
          <w:i/>
          <w:iCs/>
          <w:color w:val="auto"/>
          <w:lang w:val="en-US"/>
        </w:rPr>
        <w:t>kz</w:t>
      </w:r>
      <w:r w:rsidRPr="004618E7">
        <w:rPr>
          <w:i/>
          <w:iCs/>
          <w:color w:val="auto"/>
        </w:rPr>
        <w:t>)</w:t>
      </w:r>
    </w:p>
    <w:p w14:paraId="63EC0474" w14:textId="77777777" w:rsidR="00014C1A" w:rsidRPr="004618E7" w:rsidRDefault="00003B0B">
      <w:pPr>
        <w:ind w:firstLine="426"/>
        <w:jc w:val="both"/>
        <w:rPr>
          <w:color w:val="auto"/>
        </w:rPr>
      </w:pPr>
      <w:r w:rsidRPr="004618E7">
        <w:rPr>
          <w:i/>
          <w:iCs/>
          <w:color w:val="auto"/>
        </w:rPr>
        <w:t> </w:t>
      </w:r>
    </w:p>
    <w:p w14:paraId="7073C40F" w14:textId="77777777" w:rsidR="00014C1A" w:rsidRDefault="00003B0B">
      <w:pPr>
        <w:ind w:firstLine="426"/>
        <w:jc w:val="center"/>
      </w:pPr>
      <w:r>
        <w:rPr>
          <w:b/>
          <w:bCs/>
        </w:rPr>
        <w:t>Ситуация с доступом ММСП к финансированию</w:t>
      </w:r>
    </w:p>
    <w:p w14:paraId="24355F33" w14:textId="77777777" w:rsidR="00014C1A" w:rsidRDefault="00003B0B">
      <w:pPr>
        <w:ind w:firstLine="426"/>
        <w:jc w:val="both"/>
      </w:pPr>
      <w:r>
        <w:t> </w:t>
      </w:r>
    </w:p>
    <w:p w14:paraId="2E91E2CC" w14:textId="77777777" w:rsidR="00014C1A" w:rsidRDefault="00003B0B">
      <w:pPr>
        <w:ind w:firstLine="426"/>
        <w:jc w:val="both"/>
      </w:pPr>
      <w:r>
        <w:t>Базовым ресурсом роста сектора ММСП являются кредиты. Именно поэтому основной упор в рамках госпрограмм поддержки был сделан на расширение доступа ММСП к кредитам.</w:t>
      </w:r>
    </w:p>
    <w:p w14:paraId="2DB67996" w14:textId="510A3565" w:rsidR="00014C1A" w:rsidRDefault="00003B0B">
      <w:pPr>
        <w:ind w:firstLine="426"/>
        <w:jc w:val="both"/>
      </w:pPr>
      <w:r>
        <w:t>Динамика изменения портфеля банков второго уровня по кредитам ММСП в 2011-</w:t>
      </w:r>
      <w:r w:rsidR="002A55C1">
        <w:t xml:space="preserve">2020 </w:t>
      </w:r>
      <w:r>
        <w:t>годах свидетельствует о том, что инструменты господдержки как субсидирование ставок, гарантирование кредитов и обусловленное размещение средств для дальнейшего финансирования ММСП, выполнили свои задачи, а именно:</w:t>
      </w:r>
    </w:p>
    <w:p w14:paraId="4C63424A" w14:textId="7557DD12" w:rsidR="00014C1A" w:rsidRDefault="00003B0B">
      <w:pPr>
        <w:ind w:firstLine="426"/>
        <w:jc w:val="both"/>
      </w:pPr>
      <w:r>
        <w:t xml:space="preserve">• Обеспечили рост кредитования сегмента ММСП - за </w:t>
      </w:r>
      <w:r w:rsidR="002A55C1">
        <w:t xml:space="preserve">8 </w:t>
      </w:r>
      <w:r>
        <w:t xml:space="preserve">лет портфель кредитов ММСП вырос на </w:t>
      </w:r>
      <w:r w:rsidR="002A55C1">
        <w:t>2</w:t>
      </w:r>
      <w:r>
        <w:t xml:space="preserve">,4 трлн. тенге до уровня </w:t>
      </w:r>
      <w:r w:rsidR="002A55C1">
        <w:t>4,2</w:t>
      </w:r>
      <w:r>
        <w:t xml:space="preserve"> трлн. тенге, доля ММСП в портфеле выросла на </w:t>
      </w:r>
      <w:r w:rsidR="002A55C1">
        <w:t xml:space="preserve">17 </w:t>
      </w:r>
      <w:r>
        <w:t xml:space="preserve">процентных пунктов до уровня </w:t>
      </w:r>
      <w:r w:rsidR="002A55C1">
        <w:t>27</w:t>
      </w:r>
      <w:r>
        <w:t>%.</w:t>
      </w:r>
    </w:p>
    <w:p w14:paraId="16F2DFB6" w14:textId="4DBFDD5F" w:rsidR="00014C1A" w:rsidRDefault="00003B0B">
      <w:pPr>
        <w:ind w:firstLine="426"/>
        <w:jc w:val="both"/>
      </w:pPr>
      <w:r>
        <w:t xml:space="preserve">• Содействовали росту кредитования приоритетных секторов и, в частности, обрабатывающей промышленности - ключевого сектора в диверсификации экономики страны - за </w:t>
      </w:r>
      <w:r w:rsidR="002A55C1">
        <w:t xml:space="preserve">7 </w:t>
      </w:r>
      <w:r>
        <w:t xml:space="preserve">лет портфель кредитов малому бизнесу в обрабатывающей промышленности вырос на </w:t>
      </w:r>
      <w:r w:rsidR="002A55C1">
        <w:t xml:space="preserve">94 </w:t>
      </w:r>
      <w:r w:rsidR="00B646B3">
        <w:t>млрд</w:t>
      </w:r>
      <w:r>
        <w:t xml:space="preserve"> тенге до уровня </w:t>
      </w:r>
      <w:r w:rsidR="002A55C1">
        <w:t xml:space="preserve">337 </w:t>
      </w:r>
      <w:r w:rsidR="00B646B3">
        <w:t>млрд</w:t>
      </w:r>
      <w:r>
        <w:t xml:space="preserve"> тенге, доля кредитов малому бизнесу промышленности в общем портфеле кредитов БВУ в обрабатывающей промышленности </w:t>
      </w:r>
      <w:r w:rsidR="002A55C1">
        <w:t>составила 25,2</w:t>
      </w:r>
      <w:r>
        <w:t>%.</w:t>
      </w:r>
    </w:p>
    <w:p w14:paraId="7E7CFFE3" w14:textId="77777777" w:rsidR="00014C1A" w:rsidRDefault="00003B0B">
      <w:pPr>
        <w:ind w:firstLine="426"/>
        <w:jc w:val="both"/>
      </w:pPr>
      <w:r>
        <w:t>Широкий доступ малого бизнеса к кредитам активизировал его инвестиционную деятельность. Важную роль сыграли условия государственных программ, которые предусматривали долгосрочное финансирование сроком до 7-10 лет.</w:t>
      </w:r>
    </w:p>
    <w:p w14:paraId="1C719F34" w14:textId="549C65F2" w:rsidR="00014C1A" w:rsidRDefault="00003B0B">
      <w:pPr>
        <w:ind w:firstLine="426"/>
        <w:jc w:val="both"/>
      </w:pPr>
      <w:r>
        <w:t>В 2011-</w:t>
      </w:r>
      <w:r w:rsidR="002A55C1">
        <w:t xml:space="preserve">2020 </w:t>
      </w:r>
      <w:r>
        <w:t>годах инвестиции в основной капитал малого бизнеса росли, опережая рынок:</w:t>
      </w:r>
    </w:p>
    <w:p w14:paraId="4DF54B8E" w14:textId="1922FA34" w:rsidR="00014C1A" w:rsidRPr="004618E7" w:rsidRDefault="00003B0B">
      <w:pPr>
        <w:ind w:firstLine="426"/>
        <w:jc w:val="both"/>
        <w:rPr>
          <w:color w:val="auto"/>
        </w:rPr>
      </w:pPr>
      <w:r>
        <w:t xml:space="preserve">• За </w:t>
      </w:r>
      <w:r w:rsidR="002A55C1">
        <w:t xml:space="preserve">восемь </w:t>
      </w:r>
      <w:r>
        <w:t xml:space="preserve">лет годовой объем инвестиций в малом бизнесе вырос на </w:t>
      </w:r>
      <w:r w:rsidR="002A55C1">
        <w:t>178</w:t>
      </w:r>
      <w:r>
        <w:t xml:space="preserve">%, тогда как весь рыночный объем инвестиций </w:t>
      </w:r>
      <w:r w:rsidRPr="004618E7">
        <w:rPr>
          <w:color w:val="auto"/>
        </w:rPr>
        <w:t xml:space="preserve">вырос на </w:t>
      </w:r>
      <w:r w:rsidR="002A55C1" w:rsidRPr="004618E7">
        <w:rPr>
          <w:color w:val="auto"/>
        </w:rPr>
        <w:t>145</w:t>
      </w:r>
      <w:r w:rsidRPr="004618E7">
        <w:rPr>
          <w:color w:val="auto"/>
        </w:rPr>
        <w:t>%,</w:t>
      </w:r>
    </w:p>
    <w:p w14:paraId="5660733B" w14:textId="6DE565A5" w:rsidR="00014C1A" w:rsidRPr="004618E7" w:rsidRDefault="00003B0B">
      <w:pPr>
        <w:ind w:firstLine="426"/>
        <w:jc w:val="both"/>
        <w:rPr>
          <w:color w:val="auto"/>
        </w:rPr>
      </w:pPr>
      <w:r w:rsidRPr="004618E7">
        <w:rPr>
          <w:color w:val="auto"/>
        </w:rPr>
        <w:t>• Благодаря этому доля инвестиций в малом бизнесе в общем объеме инвестиций выросла с 34% до 4</w:t>
      </w:r>
      <w:r w:rsidR="002A55C1" w:rsidRPr="004618E7">
        <w:rPr>
          <w:color w:val="auto"/>
        </w:rPr>
        <w:t>9</w:t>
      </w:r>
      <w:r w:rsidRPr="004618E7">
        <w:rPr>
          <w:color w:val="auto"/>
        </w:rPr>
        <w:t>%.</w:t>
      </w:r>
    </w:p>
    <w:p w14:paraId="4D3186CF" w14:textId="77777777" w:rsidR="00014C1A" w:rsidRPr="004618E7" w:rsidRDefault="00003B0B">
      <w:pPr>
        <w:ind w:firstLine="426"/>
        <w:jc w:val="both"/>
        <w:rPr>
          <w:color w:val="auto"/>
        </w:rPr>
      </w:pPr>
      <w:r w:rsidRPr="004618E7">
        <w:rPr>
          <w:color w:val="auto"/>
        </w:rPr>
        <w:t>Акцент госпрограмм на обрабатывающую промышленность стимулировал рост инвестиций в данном секторе:</w:t>
      </w:r>
    </w:p>
    <w:p w14:paraId="000D8E04" w14:textId="0D7585C8" w:rsidR="00014C1A" w:rsidRPr="004618E7" w:rsidRDefault="00003B0B">
      <w:pPr>
        <w:ind w:firstLine="426"/>
        <w:jc w:val="both"/>
        <w:rPr>
          <w:color w:val="auto"/>
        </w:rPr>
      </w:pPr>
      <w:r w:rsidRPr="004618E7">
        <w:rPr>
          <w:color w:val="auto"/>
        </w:rPr>
        <w:t xml:space="preserve">• За </w:t>
      </w:r>
      <w:r w:rsidR="002A55C1" w:rsidRPr="004618E7">
        <w:rPr>
          <w:color w:val="auto"/>
        </w:rPr>
        <w:t xml:space="preserve">девять </w:t>
      </w:r>
      <w:r w:rsidRPr="004618E7">
        <w:rPr>
          <w:color w:val="auto"/>
        </w:rPr>
        <w:t xml:space="preserve">лет годовой объем инвестиций в обрабатывающем секторе вырос на </w:t>
      </w:r>
      <w:r w:rsidR="002A55C1" w:rsidRPr="004618E7">
        <w:rPr>
          <w:color w:val="auto"/>
        </w:rPr>
        <w:t>124</w:t>
      </w:r>
      <w:r w:rsidRPr="004618E7">
        <w:rPr>
          <w:color w:val="auto"/>
        </w:rPr>
        <w:t>%,</w:t>
      </w:r>
    </w:p>
    <w:p w14:paraId="230DE8A0" w14:textId="5D9C7E04" w:rsidR="00014C1A" w:rsidRPr="004618E7" w:rsidRDefault="00003B0B">
      <w:pPr>
        <w:ind w:firstLine="426"/>
        <w:jc w:val="both"/>
        <w:rPr>
          <w:color w:val="auto"/>
        </w:rPr>
      </w:pPr>
      <w:r w:rsidRPr="004618E7">
        <w:rPr>
          <w:color w:val="auto"/>
        </w:rPr>
        <w:t xml:space="preserve">• Доля инвестиций в секторе в общем объеме инвестиций </w:t>
      </w:r>
      <w:r w:rsidR="002A55C1" w:rsidRPr="004618E7">
        <w:rPr>
          <w:color w:val="auto"/>
        </w:rPr>
        <w:t xml:space="preserve">снизилась </w:t>
      </w:r>
      <w:r w:rsidRPr="004618E7">
        <w:rPr>
          <w:color w:val="auto"/>
        </w:rPr>
        <w:t xml:space="preserve">с 10% до </w:t>
      </w:r>
      <w:r w:rsidR="002A55C1" w:rsidRPr="004618E7">
        <w:rPr>
          <w:color w:val="auto"/>
        </w:rPr>
        <w:t>9</w:t>
      </w:r>
      <w:r w:rsidRPr="004618E7">
        <w:rPr>
          <w:color w:val="auto"/>
        </w:rPr>
        <w:t xml:space="preserve">%. </w:t>
      </w:r>
    </w:p>
    <w:p w14:paraId="67A20C4E" w14:textId="77777777" w:rsidR="00014C1A" w:rsidRPr="004618E7" w:rsidRDefault="00003B0B">
      <w:pPr>
        <w:ind w:firstLine="426"/>
        <w:jc w:val="both"/>
        <w:rPr>
          <w:color w:val="auto"/>
        </w:rPr>
      </w:pPr>
      <w:r w:rsidRPr="004618E7">
        <w:rPr>
          <w:color w:val="auto"/>
        </w:rPr>
        <w:t>Предприятия получили возможность привлекать больше заемных средств на инвестиционную деятельность:</w:t>
      </w:r>
    </w:p>
    <w:p w14:paraId="4EBEED11" w14:textId="5A445EB6" w:rsidR="00014C1A" w:rsidRPr="004618E7" w:rsidRDefault="00003B0B">
      <w:pPr>
        <w:ind w:firstLine="426"/>
        <w:jc w:val="both"/>
        <w:rPr>
          <w:color w:val="auto"/>
        </w:rPr>
      </w:pPr>
      <w:r w:rsidRPr="004618E7">
        <w:rPr>
          <w:color w:val="auto"/>
        </w:rPr>
        <w:t xml:space="preserve">• За </w:t>
      </w:r>
      <w:r w:rsidR="002A55C1" w:rsidRPr="004618E7">
        <w:rPr>
          <w:color w:val="auto"/>
        </w:rPr>
        <w:t xml:space="preserve">девять </w:t>
      </w:r>
      <w:r w:rsidRPr="004618E7">
        <w:rPr>
          <w:color w:val="auto"/>
        </w:rPr>
        <w:t xml:space="preserve">лет годовой объем инвестиций за счет заемных средств вырос </w:t>
      </w:r>
      <w:r w:rsidR="00AB6CF6" w:rsidRPr="004618E7">
        <w:rPr>
          <w:color w:val="auto"/>
        </w:rPr>
        <w:t>почти</w:t>
      </w:r>
      <w:r w:rsidRPr="004618E7">
        <w:rPr>
          <w:color w:val="auto"/>
        </w:rPr>
        <w:t xml:space="preserve"> в 2</w:t>
      </w:r>
      <w:r w:rsidR="00AB6CF6" w:rsidRPr="004618E7">
        <w:rPr>
          <w:color w:val="auto"/>
        </w:rPr>
        <w:t>,5</w:t>
      </w:r>
      <w:r w:rsidRPr="004618E7">
        <w:rPr>
          <w:color w:val="auto"/>
        </w:rPr>
        <w:t xml:space="preserve"> раза до уровня 1,</w:t>
      </w:r>
      <w:r w:rsidR="00AB6CF6" w:rsidRPr="004618E7">
        <w:rPr>
          <w:color w:val="auto"/>
        </w:rPr>
        <w:t xml:space="preserve">5 </w:t>
      </w:r>
      <w:r w:rsidRPr="004618E7">
        <w:rPr>
          <w:color w:val="auto"/>
        </w:rPr>
        <w:t>триллиона тенге</w:t>
      </w:r>
      <w:r w:rsidR="00AB6CF6" w:rsidRPr="004618E7">
        <w:rPr>
          <w:color w:val="auto"/>
        </w:rPr>
        <w:t>.</w:t>
      </w:r>
    </w:p>
    <w:p w14:paraId="0D999220" w14:textId="6927B187" w:rsidR="00014C1A" w:rsidRPr="004618E7" w:rsidRDefault="00014C1A">
      <w:pPr>
        <w:ind w:firstLine="426"/>
        <w:jc w:val="both"/>
        <w:rPr>
          <w:color w:val="auto"/>
        </w:rPr>
      </w:pPr>
    </w:p>
    <w:p w14:paraId="57878D25" w14:textId="0DB736E8" w:rsidR="00014C1A" w:rsidRPr="004618E7" w:rsidRDefault="00003B0B">
      <w:pPr>
        <w:ind w:firstLine="426"/>
        <w:jc w:val="both"/>
        <w:rPr>
          <w:color w:val="auto"/>
        </w:rPr>
      </w:pPr>
      <w:r w:rsidRPr="004618E7">
        <w:rPr>
          <w:color w:val="auto"/>
        </w:rPr>
        <w:t xml:space="preserve">Вместе с этим ситуацию с доступом ММСП к финансированию еще нельзя назвать оптимальной. Большинство субъектов ММСП не имеют доступа к бизнес-кредитам. </w:t>
      </w:r>
      <w:r w:rsidR="001A028A" w:rsidRPr="004618E7">
        <w:rPr>
          <w:color w:val="auto"/>
        </w:rPr>
        <w:t xml:space="preserve">По </w:t>
      </w:r>
      <w:r w:rsidR="001A028A" w:rsidRPr="004618E7">
        <w:rPr>
          <w:color w:val="auto"/>
        </w:rPr>
        <w:lastRenderedPageBreak/>
        <w:t>данным опроса Фонда «Даму», за 2020 год</w:t>
      </w:r>
      <w:r w:rsidRPr="004618E7">
        <w:rPr>
          <w:color w:val="auto"/>
        </w:rPr>
        <w:t xml:space="preserve"> </w:t>
      </w:r>
      <w:r w:rsidR="001A028A" w:rsidRPr="004618E7">
        <w:rPr>
          <w:color w:val="auto"/>
        </w:rPr>
        <w:t xml:space="preserve">в </w:t>
      </w:r>
      <w:r w:rsidRPr="004618E7">
        <w:rPr>
          <w:color w:val="auto"/>
        </w:rPr>
        <w:t xml:space="preserve">портфеле банков насчитывалось порядка </w:t>
      </w:r>
      <w:r w:rsidR="001A028A" w:rsidRPr="004618E7">
        <w:rPr>
          <w:color w:val="auto"/>
        </w:rPr>
        <w:t xml:space="preserve">30 </w:t>
      </w:r>
      <w:r w:rsidRPr="004618E7">
        <w:rPr>
          <w:color w:val="auto"/>
        </w:rPr>
        <w:t xml:space="preserve">тыс. заемщиков из числа ИП и юридических лиц ММСП. Количество заемщиков микрофинансовых организаций, которые берут микрокредиты на предпринимательские цели, </w:t>
      </w:r>
      <w:r w:rsidR="001A028A" w:rsidRPr="004618E7">
        <w:rPr>
          <w:color w:val="auto"/>
        </w:rPr>
        <w:t>в 2020 году составило около 244 тыс. единиц.</w:t>
      </w:r>
    </w:p>
    <w:p w14:paraId="063EB523" w14:textId="3BB326A3" w:rsidR="00014C1A" w:rsidRPr="004618E7" w:rsidRDefault="00003B0B">
      <w:pPr>
        <w:ind w:firstLine="426"/>
        <w:jc w:val="both"/>
        <w:rPr>
          <w:color w:val="auto"/>
        </w:rPr>
      </w:pPr>
      <w:r w:rsidRPr="004618E7">
        <w:rPr>
          <w:color w:val="auto"/>
        </w:rPr>
        <w:t>Сохраняется потребность в регулярном фондировании БВУ</w:t>
      </w:r>
      <w:r w:rsidR="0001681F">
        <w:rPr>
          <w:color w:val="auto"/>
        </w:rPr>
        <w:t xml:space="preserve">, </w:t>
      </w:r>
      <w:r w:rsidR="001A028A" w:rsidRPr="004618E7">
        <w:rPr>
          <w:color w:val="auto"/>
        </w:rPr>
        <w:t xml:space="preserve">микрофинансовых организаций </w:t>
      </w:r>
      <w:r w:rsidR="0001681F">
        <w:t xml:space="preserve">и </w:t>
      </w:r>
      <w:r w:rsidR="0001681F" w:rsidRPr="00F84ED0">
        <w:t>лизинговых компаний</w:t>
      </w:r>
      <w:r w:rsidR="0001681F" w:rsidRPr="00634BEF">
        <w:rPr>
          <w:sz w:val="20"/>
          <w:szCs w:val="20"/>
        </w:rPr>
        <w:t xml:space="preserve"> </w:t>
      </w:r>
      <w:r w:rsidRPr="004618E7">
        <w:rPr>
          <w:color w:val="auto"/>
        </w:rPr>
        <w:t xml:space="preserve">посредством программ обусловленного размещения средств для кредитования ММСП. Рынок кредитования </w:t>
      </w:r>
      <w:r w:rsidR="001A028A" w:rsidRPr="004618E7">
        <w:rPr>
          <w:color w:val="auto"/>
        </w:rPr>
        <w:t xml:space="preserve">Республики </w:t>
      </w:r>
      <w:r w:rsidRPr="004618E7">
        <w:rPr>
          <w:color w:val="auto"/>
        </w:rPr>
        <w:t>Казахстан периодически сталкивается с проблемой недостатка ликвидности, в основном в периоды снижения обменного курса национальной валюты. При этом из трех основных групп клиентов БВУ (физические лица, субъекты ММСП и корпоративный сектор) именно на ММСП дефицит ликвидности сказывается в первую очередь.</w:t>
      </w:r>
    </w:p>
    <w:p w14:paraId="2EB7BA63" w14:textId="2D3191C0" w:rsidR="00014C1A" w:rsidRPr="004618E7" w:rsidRDefault="00003B0B">
      <w:pPr>
        <w:ind w:firstLine="426"/>
        <w:jc w:val="both"/>
        <w:rPr>
          <w:color w:val="auto"/>
        </w:rPr>
      </w:pPr>
      <w:r w:rsidRPr="004618E7">
        <w:rPr>
          <w:color w:val="auto"/>
        </w:rPr>
        <w:t xml:space="preserve">Процентные ставки и требования к залогам остаются высокими. На сегодняшний день БВУ финансируют проекты ММСП по ставке вознаграждения </w:t>
      </w:r>
      <w:r w:rsidR="001A028A" w:rsidRPr="004618E7">
        <w:rPr>
          <w:color w:val="auto"/>
        </w:rPr>
        <w:t xml:space="preserve">около </w:t>
      </w:r>
      <w:r w:rsidRPr="004618E7">
        <w:rPr>
          <w:color w:val="auto"/>
        </w:rPr>
        <w:t>14% годовых. С другой стороны, несовершенные методы корпоративного управления и отсутствие прозрачности в компаниях ММСП увеличивают риски кредиторов и приводят к высоким требованиям по залогам при кредитовании ММСП. Согласно исследованиям Европейского банка реконструкции и развития (далее - ЕБРР) и Всемирного банка (далее - ВБ) медианное значение требований к залогам для субъектов ММСП в Казахстане составляет 170% от суммы кредита.</w:t>
      </w:r>
    </w:p>
    <w:p w14:paraId="6C568939" w14:textId="4EDB3576" w:rsidR="001A028A" w:rsidRPr="004618E7" w:rsidRDefault="001A028A">
      <w:pPr>
        <w:ind w:firstLine="426"/>
        <w:jc w:val="both"/>
        <w:rPr>
          <w:color w:val="auto"/>
        </w:rPr>
      </w:pPr>
      <w:r w:rsidRPr="004618E7">
        <w:rPr>
          <w:color w:val="auto"/>
        </w:rPr>
        <w:t>Вместе с тем, наблюдается высокий охват предпринимателей кредитованием через микрофинансовые организации, превышающий кредитование через БВУ в 8 раз.</w:t>
      </w:r>
    </w:p>
    <w:p w14:paraId="5976240E" w14:textId="61B14039" w:rsidR="00014C1A" w:rsidRPr="004618E7" w:rsidRDefault="00003B0B">
      <w:pPr>
        <w:ind w:firstLine="426"/>
        <w:jc w:val="both"/>
        <w:rPr>
          <w:color w:val="auto"/>
        </w:rPr>
      </w:pPr>
      <w:r w:rsidRPr="004618E7">
        <w:rPr>
          <w:color w:val="auto"/>
        </w:rPr>
        <w:t>Учитывая вышеизложенное, деятельность Фонда «Даму» должна сохранять свою направленность на увеличение объемов финансовой поддержки субъектов ММСП с применением востребованных инструментов финансирования, таких как кредитование и лизинговое финансирование через БВУ</w:t>
      </w:r>
      <w:r w:rsidR="00DB4864" w:rsidRPr="004618E7">
        <w:rPr>
          <w:color w:val="auto"/>
        </w:rPr>
        <w:t>, МФО</w:t>
      </w:r>
      <w:r w:rsidRPr="004618E7">
        <w:rPr>
          <w:color w:val="auto"/>
        </w:rPr>
        <w:t xml:space="preserve"> и лизинговые компании, субсидирование ставок вознаграждения, гарантирование кредитов, </w:t>
      </w:r>
      <w:r w:rsidR="007B71E0">
        <w:rPr>
          <w:color w:val="auto"/>
        </w:rPr>
        <w:t xml:space="preserve">факторинговые операции, </w:t>
      </w:r>
      <w:r w:rsidRPr="004618E7">
        <w:rPr>
          <w:color w:val="auto"/>
        </w:rPr>
        <w:t xml:space="preserve">микрофинансирование и </w:t>
      </w:r>
      <w:r w:rsidR="00DB4864" w:rsidRPr="004618E7">
        <w:rPr>
          <w:color w:val="auto"/>
        </w:rPr>
        <w:t>разработкой альтернативных источников финансирования субъектов ММСП</w:t>
      </w:r>
      <w:r w:rsidRPr="004618E7">
        <w:rPr>
          <w:color w:val="auto"/>
        </w:rPr>
        <w:t>.</w:t>
      </w:r>
    </w:p>
    <w:p w14:paraId="4A2ED00F" w14:textId="77777777" w:rsidR="00DB4864" w:rsidRDefault="00DB4864">
      <w:pPr>
        <w:ind w:firstLine="426"/>
        <w:jc w:val="both"/>
      </w:pPr>
    </w:p>
    <w:p w14:paraId="245220DA" w14:textId="77777777" w:rsidR="00014C1A" w:rsidRDefault="00003B0B">
      <w:pPr>
        <w:ind w:firstLine="426"/>
        <w:jc w:val="both"/>
      </w:pPr>
      <w:bookmarkStart w:id="6" w:name="SUB10200"/>
      <w:bookmarkEnd w:id="6"/>
      <w:r>
        <w:rPr>
          <w:b/>
          <w:bCs/>
        </w:rPr>
        <w:t xml:space="preserve">1.2. </w:t>
      </w:r>
      <w:r>
        <w:rPr>
          <w:b/>
          <w:bCs/>
          <w:lang w:val="en-US"/>
        </w:rPr>
        <w:t>PEST</w:t>
      </w:r>
      <w:r>
        <w:rPr>
          <w:b/>
          <w:bCs/>
        </w:rPr>
        <w:t>-анализ</w:t>
      </w:r>
    </w:p>
    <w:p w14:paraId="7DC31705" w14:textId="77777777" w:rsidR="00014C1A" w:rsidRDefault="00003B0B">
      <w:pPr>
        <w:ind w:firstLine="426"/>
        <w:jc w:val="both"/>
      </w:pPr>
      <w:r>
        <w:t>Анализ внешней среды показывает наличие ряда положительных факторов и возможностей для выполнения поставленных перед Фондом целей и задач.</w:t>
      </w:r>
    </w:p>
    <w:p w14:paraId="40571420" w14:textId="663A923C" w:rsidR="00014C1A" w:rsidRDefault="00003B0B">
      <w:pPr>
        <w:ind w:firstLine="426"/>
        <w:jc w:val="both"/>
      </w:pPr>
      <w:r>
        <w:t xml:space="preserve">К числу положительных политических и правовых факторов относится повышенное внимание Правительства к вопросам развития предпринимательства и реализация государственных программ, в которых Фонд участвует в роли оператора и финансового агента. Также положительным фактором </w:t>
      </w:r>
      <w:r w:rsidR="000946D1">
        <w:t xml:space="preserve">является </w:t>
      </w:r>
      <w:r>
        <w:t>государственная политика по совершенствованию государственно-разрешительной системы, реформированию информационных инструментов, совершенствованию государственного контроля и надзора, политика по снижению доли участия государства в экономике.</w:t>
      </w:r>
    </w:p>
    <w:p w14:paraId="67ABEC76" w14:textId="77777777" w:rsidR="00014C1A" w:rsidRDefault="00003B0B">
      <w:pPr>
        <w:ind w:firstLine="426"/>
        <w:jc w:val="both"/>
      </w:pPr>
      <w:r>
        <w:t>При этом существенным правовым фактором, представляющим угрозу, может являться внесение изменений в законодательство, регулирующее банковскую деятельность, т.к. большинство финансовых программ Фонда «Даму» реализуется с участием БВУ, а также и налогового законодательства и законодательства в сфере предпринимательства.</w:t>
      </w:r>
    </w:p>
    <w:p w14:paraId="499B46BB" w14:textId="67F9C3DD" w:rsidR="00014C1A" w:rsidRDefault="00003B0B">
      <w:pPr>
        <w:ind w:firstLine="426"/>
        <w:jc w:val="both"/>
      </w:pPr>
      <w:r>
        <w:t xml:space="preserve">Среди экономических факторов положительное влияние на деятельность Фонда оказывает стабильная макроэкономическая среда, сопровождаемая увеличением количества субъектов ММСП - потенциальных клиентов Фонда. Возможности расширения партнёрской сети - развитие небанковского финансирования. </w:t>
      </w:r>
      <w:r w:rsidR="00525635" w:rsidRPr="00525635">
        <w:t>Наличие</w:t>
      </w:r>
      <w:r w:rsidRPr="00525635">
        <w:t xml:space="preserve"> «длинной» ликвидности БВУ увеличивает возможности доступа к инструментам субсидирования и гарантирования для ММСП.</w:t>
      </w:r>
    </w:p>
    <w:p w14:paraId="64F541EF" w14:textId="77777777" w:rsidR="00014C1A" w:rsidRDefault="00003B0B">
      <w:pPr>
        <w:ind w:firstLine="426"/>
        <w:jc w:val="both"/>
      </w:pPr>
      <w:r>
        <w:t xml:space="preserve">Участие Казахстана в международных экономических соглашениях и конвенциях открывает возможности для привлечения дополнительных средств иностранных финансовых институтов (Азиатский банк развития (далее - АБР), ЕБРР, ЕИБ и т.д.) для </w:t>
      </w:r>
      <w:r>
        <w:lastRenderedPageBreak/>
        <w:t>финансирования сектора ММСП. Географическое расположение Казахстана по соседству с быстрорастущими рынками России, Китая и Индии, экономическая интеграция с ними также создают возможности для развития ММСП Казахстана. Тем не менее, отсутствие выхода к морю и имеющийся уровень охвата железными и автомобильными дорогами территории страны ограничивает возможности предпринимателей.</w:t>
      </w:r>
    </w:p>
    <w:p w14:paraId="2FEF4B09" w14:textId="77777777" w:rsidR="00014C1A" w:rsidRDefault="00003B0B">
      <w:pPr>
        <w:ind w:firstLine="426"/>
        <w:jc w:val="both"/>
      </w:pPr>
      <w:r>
        <w:t>Потенциальную угрозу среди экономических факторов представляет возможная оптимизация государственного бюджета, сокращение инвестиций в связи с нестабильностью цен на энергоносители, волатильность национальной валюты и как следствие снижение тенговой ликвидности БВУ и роста ставок вознаграждения которые могут привести к снижению темпов роста кредитования экономики, снижению кредитных рейтингов БВУ-партнеров, что может привести к росту провизии Фонда и снижению лимитов по размещению средств в БВУ. Низкие темпы развития ММСП в промышленности и инновациях, а также зависимость ММСП в промышленном секторе от импорта несет в себе риск слабой конкурентоспособности что в целом может привести к сокращению внутреннего спроса на отечественные товары. Отсутствие механизмов, условий и мотивации для трансформации малых предприятий в средние, что обусловлено рядом преимуществ законодательства в части налогообложения, учета и отчётности.</w:t>
      </w:r>
    </w:p>
    <w:p w14:paraId="0A1E709D" w14:textId="77777777" w:rsidR="00014C1A" w:rsidRDefault="00003B0B">
      <w:pPr>
        <w:ind w:firstLine="426"/>
        <w:jc w:val="both"/>
      </w:pPr>
      <w:r>
        <w:t>В числе положительных социальных факторов можно отметить потенциальное вовлечение широких слоев населения в предпринимательскую деятельность, что будет способствовать увеличению числа клиентов Фонда. Рост занятости в частном предпринимательстве и рост доходов в секторе ММСП будет способствовать повышению уровня удовлетворенности предпринимателей мерами государственной поддержки. В число социальных факторов, представляющих угрозу, входит низкий уровень квалификации предпринимателей, уровень доходов и кредитоспособности предпринимателей на районном уровне, низкая заинтересованность молодежи в ведении предпринимательской деятельности.</w:t>
      </w:r>
    </w:p>
    <w:p w14:paraId="4CD2F06E" w14:textId="77777777" w:rsidR="00014C1A" w:rsidRDefault="00003B0B">
      <w:pPr>
        <w:ind w:firstLine="426"/>
        <w:jc w:val="both"/>
      </w:pPr>
      <w:r>
        <w:t>Среди технологических и технических факторов следует выделить внедрение программ информатизации и развития предпринимательства на основе современных информационных технологий, системы электронной коммерции, появление современных технологий производства и высокоэффективного оборудования для предпринимателей. Увеличение доступности сети Интернет и услуг удаленного доступа к информации в Казахстане, а также развитие услуг мобильной связи, требует от Фонда внедрения соответствующих платформ для оказания он-лайн услуг. Развитие инфраструктуры страны в целом будет способствовать созданию благоприятных условии для ведения бизнеса. При этом угрозу может представлять непопулярность новых технологий среди целевой аудитории.</w:t>
      </w:r>
    </w:p>
    <w:p w14:paraId="535E8B0B" w14:textId="77777777" w:rsidR="00014C1A" w:rsidRDefault="00003B0B">
      <w:pPr>
        <w:ind w:firstLine="426"/>
        <w:jc w:val="both"/>
      </w:pPr>
      <w:r>
        <w:t> </w:t>
      </w:r>
    </w:p>
    <w:tbl>
      <w:tblPr>
        <w:tblW w:w="5000" w:type="pct"/>
        <w:tblCellMar>
          <w:left w:w="0" w:type="dxa"/>
          <w:right w:w="0" w:type="dxa"/>
        </w:tblCellMar>
        <w:tblLook w:val="04A0" w:firstRow="1" w:lastRow="0" w:firstColumn="1" w:lastColumn="0" w:noHBand="0" w:noVBand="1"/>
      </w:tblPr>
      <w:tblGrid>
        <w:gridCol w:w="1959"/>
        <w:gridCol w:w="3676"/>
        <w:gridCol w:w="3700"/>
      </w:tblGrid>
      <w:tr w:rsidR="00014C1A" w14:paraId="6072C9C3" w14:textId="77777777">
        <w:trPr>
          <w:trHeight w:val="20"/>
        </w:trPr>
        <w:tc>
          <w:tcPr>
            <w:tcW w:w="8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14:paraId="6D091217" w14:textId="77777777" w:rsidR="00014C1A" w:rsidRDefault="00003B0B">
            <w:pPr>
              <w:jc w:val="center"/>
            </w:pPr>
            <w:r>
              <w:rPr>
                <w:b/>
                <w:bCs/>
                <w:lang w:val="en-US"/>
              </w:rPr>
              <w:t>PEST-</w:t>
            </w:r>
            <w:r>
              <w:rPr>
                <w:b/>
                <w:bCs/>
              </w:rPr>
              <w:t>факторы</w:t>
            </w:r>
          </w:p>
        </w:tc>
        <w:tc>
          <w:tcPr>
            <w:tcW w:w="2066"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1007E82E" w14:textId="77777777" w:rsidR="00014C1A" w:rsidRDefault="00003B0B">
            <w:pPr>
              <w:jc w:val="center"/>
            </w:pPr>
            <w:r>
              <w:rPr>
                <w:b/>
                <w:bCs/>
              </w:rPr>
              <w:t>Открывают возможности</w:t>
            </w:r>
          </w:p>
        </w:tc>
        <w:tc>
          <w:tcPr>
            <w:tcW w:w="2080"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1A62EEE0" w14:textId="77777777" w:rsidR="00014C1A" w:rsidRDefault="00003B0B">
            <w:pPr>
              <w:jc w:val="center"/>
            </w:pPr>
            <w:r>
              <w:rPr>
                <w:b/>
                <w:bCs/>
              </w:rPr>
              <w:t>Представляют угрозу</w:t>
            </w:r>
          </w:p>
        </w:tc>
      </w:tr>
      <w:tr w:rsidR="00014C1A" w14:paraId="2FDAD94C" w14:textId="77777777">
        <w:trPr>
          <w:trHeight w:val="20"/>
        </w:trPr>
        <w:tc>
          <w:tcPr>
            <w:tcW w:w="85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2EB31522" w14:textId="77777777" w:rsidR="00014C1A" w:rsidRDefault="00003B0B">
            <w:r>
              <w:rPr>
                <w:b/>
                <w:bCs/>
              </w:rPr>
              <w:t>Р - Политические и правовые факторы</w:t>
            </w:r>
          </w:p>
        </w:tc>
        <w:tc>
          <w:tcPr>
            <w:tcW w:w="2066" w:type="pct"/>
            <w:tcBorders>
              <w:top w:val="nil"/>
              <w:left w:val="nil"/>
              <w:bottom w:val="single" w:sz="8" w:space="0" w:color="auto"/>
              <w:right w:val="single" w:sz="8" w:space="0" w:color="auto"/>
            </w:tcBorders>
            <w:tcMar>
              <w:top w:w="0" w:type="dxa"/>
              <w:left w:w="40" w:type="dxa"/>
              <w:bottom w:w="0" w:type="dxa"/>
              <w:right w:w="40" w:type="dxa"/>
            </w:tcMar>
            <w:hideMark/>
          </w:tcPr>
          <w:p w14:paraId="273E8448" w14:textId="77777777" w:rsidR="00014C1A" w:rsidRDefault="00003B0B">
            <w:r>
              <w:t xml:space="preserve">• Целенаправленная политика Правительства по улучшению условий ведения бизнеса, массовому вовлечению населения в бизнес, повышению роли ММСП в экономике (Совершенствование гос. разрешительной системы, реформирование информационных инструментов, совершенствование государственного контроля и надзора и т.д.) </w:t>
            </w:r>
          </w:p>
          <w:p w14:paraId="24658A36" w14:textId="77777777" w:rsidR="00014C1A" w:rsidRDefault="00003B0B">
            <w:r>
              <w:lastRenderedPageBreak/>
              <w:t xml:space="preserve">• Политика по снижению доли участия государства в экономике </w:t>
            </w:r>
          </w:p>
          <w:p w14:paraId="6673FB1A" w14:textId="77777777" w:rsidR="00014C1A" w:rsidRDefault="00003B0B">
            <w:r>
              <w:t>• Взаимодействие Фонда с МНЭ РК</w:t>
            </w:r>
          </w:p>
        </w:tc>
        <w:tc>
          <w:tcPr>
            <w:tcW w:w="2080" w:type="pct"/>
            <w:tcBorders>
              <w:top w:val="nil"/>
              <w:left w:val="nil"/>
              <w:bottom w:val="single" w:sz="8" w:space="0" w:color="auto"/>
              <w:right w:val="single" w:sz="8" w:space="0" w:color="auto"/>
            </w:tcBorders>
            <w:tcMar>
              <w:top w:w="0" w:type="dxa"/>
              <w:left w:w="40" w:type="dxa"/>
              <w:bottom w:w="0" w:type="dxa"/>
              <w:right w:w="40" w:type="dxa"/>
            </w:tcMar>
            <w:hideMark/>
          </w:tcPr>
          <w:p w14:paraId="0A750B36" w14:textId="77777777" w:rsidR="00014C1A" w:rsidRDefault="00003B0B">
            <w:r>
              <w:lastRenderedPageBreak/>
              <w:t xml:space="preserve">• Ужесточение законодательства в сфере предпринимательства </w:t>
            </w:r>
          </w:p>
          <w:p w14:paraId="473BC645" w14:textId="77777777" w:rsidR="00014C1A" w:rsidRDefault="00003B0B">
            <w:r>
              <w:t xml:space="preserve">• Ужесточение налогового законодательства </w:t>
            </w:r>
          </w:p>
          <w:p w14:paraId="5B3232FC" w14:textId="77777777" w:rsidR="00014C1A" w:rsidRDefault="00003B0B">
            <w:r>
              <w:t>• Ужесточение банковского законодательства</w:t>
            </w:r>
          </w:p>
        </w:tc>
      </w:tr>
      <w:tr w:rsidR="00014C1A" w14:paraId="7F549C1F" w14:textId="77777777">
        <w:trPr>
          <w:trHeight w:val="20"/>
        </w:trPr>
        <w:tc>
          <w:tcPr>
            <w:tcW w:w="85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79CEF3B9" w14:textId="77777777" w:rsidR="00014C1A" w:rsidRDefault="00003B0B">
            <w:r>
              <w:rPr>
                <w:b/>
                <w:bCs/>
              </w:rPr>
              <w:t>Е - Экономические факторы</w:t>
            </w:r>
          </w:p>
        </w:tc>
        <w:tc>
          <w:tcPr>
            <w:tcW w:w="2066" w:type="pct"/>
            <w:tcBorders>
              <w:top w:val="nil"/>
              <w:left w:val="nil"/>
              <w:bottom w:val="single" w:sz="8" w:space="0" w:color="auto"/>
              <w:right w:val="single" w:sz="8" w:space="0" w:color="auto"/>
            </w:tcBorders>
            <w:tcMar>
              <w:top w:w="0" w:type="dxa"/>
              <w:left w:w="40" w:type="dxa"/>
              <w:bottom w:w="0" w:type="dxa"/>
              <w:right w:w="40" w:type="dxa"/>
            </w:tcMar>
            <w:hideMark/>
          </w:tcPr>
          <w:p w14:paraId="13690C7A" w14:textId="77777777" w:rsidR="00014C1A" w:rsidRDefault="00003B0B">
            <w:r>
              <w:t>• Положительная динамика экономического роста страны, диверсификация экономики страны</w:t>
            </w:r>
          </w:p>
          <w:p w14:paraId="401058FF" w14:textId="77777777" w:rsidR="00014C1A" w:rsidRDefault="00003B0B">
            <w:r>
              <w:t>• Появление новых инструментов поддержки ММСП, в том числе через развитие небанковского финансирования</w:t>
            </w:r>
          </w:p>
          <w:p w14:paraId="4E32FCB6" w14:textId="73DBEA78" w:rsidR="00014C1A" w:rsidRDefault="00003B0B">
            <w:r>
              <w:t xml:space="preserve">• </w:t>
            </w:r>
            <w:r w:rsidR="008C612A" w:rsidRPr="008C612A">
              <w:t xml:space="preserve">Наличие </w:t>
            </w:r>
            <w:r w:rsidRPr="00BB2F46">
              <w:t>«длинной» ликвидности БВУ</w:t>
            </w:r>
          </w:p>
          <w:p w14:paraId="1515B64D" w14:textId="77777777" w:rsidR="00014C1A" w:rsidRDefault="00003B0B">
            <w:r>
              <w:t xml:space="preserve">• Возможности Казахстана по привлечению фондирования от международных институтов развития (АБР, ЕБРР, ВБ и т.д.) </w:t>
            </w:r>
          </w:p>
          <w:p w14:paraId="7CFF55D3" w14:textId="77777777" w:rsidR="00014C1A" w:rsidRDefault="00003B0B">
            <w:r>
              <w:t>• Международная интеграция и повышение конкурентоспособности в рамках ВТО</w:t>
            </w:r>
          </w:p>
          <w:p w14:paraId="6A8C8625" w14:textId="77777777" w:rsidR="00014C1A" w:rsidRDefault="00003B0B">
            <w:r>
              <w:t>• Положительная динамика экономического роста страны, диверсификация экономики страны</w:t>
            </w:r>
          </w:p>
        </w:tc>
        <w:tc>
          <w:tcPr>
            <w:tcW w:w="2080" w:type="pct"/>
            <w:tcBorders>
              <w:top w:val="nil"/>
              <w:left w:val="nil"/>
              <w:bottom w:val="single" w:sz="8" w:space="0" w:color="auto"/>
              <w:right w:val="single" w:sz="8" w:space="0" w:color="auto"/>
            </w:tcBorders>
            <w:tcMar>
              <w:top w:w="0" w:type="dxa"/>
              <w:left w:w="40" w:type="dxa"/>
              <w:bottom w:w="0" w:type="dxa"/>
              <w:right w:w="40" w:type="dxa"/>
            </w:tcMar>
            <w:hideMark/>
          </w:tcPr>
          <w:p w14:paraId="2C033B72" w14:textId="77777777" w:rsidR="00014C1A" w:rsidRDefault="00003B0B">
            <w:r>
              <w:t xml:space="preserve">• Оптимизация госбюджета, сокращение инвестиций в связи с нестабильностью цен на энергоносители </w:t>
            </w:r>
          </w:p>
          <w:p w14:paraId="130C3D83" w14:textId="77777777" w:rsidR="00014C1A" w:rsidRDefault="00003B0B">
            <w:r>
              <w:t>• Снижение обменного курса тенге и долларизация депозитов, дефицит тенговой ликвидности в БВУ, рост ставок по кредитам</w:t>
            </w:r>
          </w:p>
          <w:p w14:paraId="57A08DCD" w14:textId="77777777" w:rsidR="00014C1A" w:rsidRDefault="00003B0B">
            <w:r>
              <w:t>• Снижение кредитных рейтингов БВУ-партнеров</w:t>
            </w:r>
          </w:p>
          <w:p w14:paraId="456CC8B0" w14:textId="77777777" w:rsidR="00014C1A" w:rsidRDefault="00003B0B">
            <w:r>
              <w:t>• Низкие темпы развития ММСП в промышленности и инновациях</w:t>
            </w:r>
          </w:p>
          <w:p w14:paraId="795BF242" w14:textId="77777777" w:rsidR="00014C1A" w:rsidRDefault="00003B0B">
            <w:r>
              <w:t>• Зависимость ММСП в промышленном секторе от импорта</w:t>
            </w:r>
          </w:p>
          <w:p w14:paraId="5769C483" w14:textId="77777777" w:rsidR="00014C1A" w:rsidRDefault="00003B0B">
            <w:r>
              <w:t>• Отсутствие механизмов, условий и мотивации для трансформации малых предприятий в средние</w:t>
            </w:r>
          </w:p>
          <w:p w14:paraId="0FA4BD38" w14:textId="77777777" w:rsidR="00014C1A" w:rsidRDefault="00003B0B">
            <w:r>
              <w:t xml:space="preserve">• Сокращение внутреннего спроса на отечественные товары </w:t>
            </w:r>
          </w:p>
          <w:p w14:paraId="3DFBC8D6" w14:textId="77777777" w:rsidR="00014C1A" w:rsidRDefault="00003B0B">
            <w:r>
              <w:t>• Оптимизация госбюджета, сокращение инвестиций в связи с нестабильностью цен на энергоносители</w:t>
            </w:r>
          </w:p>
        </w:tc>
      </w:tr>
      <w:tr w:rsidR="00014C1A" w14:paraId="60EB8565" w14:textId="77777777">
        <w:trPr>
          <w:trHeight w:val="20"/>
        </w:trPr>
        <w:tc>
          <w:tcPr>
            <w:tcW w:w="85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6BF63E0E" w14:textId="77777777" w:rsidR="00014C1A" w:rsidRDefault="00003B0B">
            <w:r>
              <w:rPr>
                <w:b/>
                <w:bCs/>
                <w:lang w:val="en-US"/>
              </w:rPr>
              <w:t>S</w:t>
            </w:r>
            <w:r>
              <w:rPr>
                <w:b/>
                <w:bCs/>
              </w:rPr>
              <w:t xml:space="preserve"> - Социальные факторы</w:t>
            </w:r>
          </w:p>
        </w:tc>
        <w:tc>
          <w:tcPr>
            <w:tcW w:w="2066" w:type="pct"/>
            <w:tcBorders>
              <w:top w:val="nil"/>
              <w:left w:val="nil"/>
              <w:bottom w:val="single" w:sz="8" w:space="0" w:color="auto"/>
              <w:right w:val="single" w:sz="8" w:space="0" w:color="auto"/>
            </w:tcBorders>
            <w:tcMar>
              <w:top w:w="0" w:type="dxa"/>
              <w:left w:w="40" w:type="dxa"/>
              <w:bottom w:w="0" w:type="dxa"/>
              <w:right w:w="40" w:type="dxa"/>
            </w:tcMar>
            <w:hideMark/>
          </w:tcPr>
          <w:p w14:paraId="60B79565" w14:textId="77777777" w:rsidR="00014C1A" w:rsidRDefault="00003B0B">
            <w:r>
              <w:t>• Вовлечение широких слоев населения в предпринимательство</w:t>
            </w:r>
          </w:p>
          <w:p w14:paraId="7DEB3CB2" w14:textId="77777777" w:rsidR="00014C1A" w:rsidRDefault="00003B0B">
            <w:r>
              <w:t>• Рост доходов населения, занятого в предпринимательстве.</w:t>
            </w:r>
          </w:p>
          <w:p w14:paraId="44848647" w14:textId="77777777" w:rsidR="00014C1A" w:rsidRDefault="00003B0B">
            <w:r>
              <w:t>• Решение проблем занятости населения</w:t>
            </w:r>
          </w:p>
        </w:tc>
        <w:tc>
          <w:tcPr>
            <w:tcW w:w="2075" w:type="pct"/>
            <w:tcBorders>
              <w:top w:val="nil"/>
              <w:left w:val="nil"/>
              <w:bottom w:val="single" w:sz="8" w:space="0" w:color="auto"/>
              <w:right w:val="single" w:sz="8" w:space="0" w:color="auto"/>
            </w:tcBorders>
            <w:tcMar>
              <w:top w:w="0" w:type="dxa"/>
              <w:left w:w="40" w:type="dxa"/>
              <w:bottom w:w="0" w:type="dxa"/>
              <w:right w:w="40" w:type="dxa"/>
            </w:tcMar>
            <w:hideMark/>
          </w:tcPr>
          <w:p w14:paraId="2B203753" w14:textId="77777777" w:rsidR="00014C1A" w:rsidRDefault="00003B0B">
            <w:r>
              <w:t>• Низкий уровень доходов и кредитоспособности предпринимателей на районном уровне</w:t>
            </w:r>
          </w:p>
          <w:p w14:paraId="0DF7235A" w14:textId="77777777" w:rsidR="00014C1A" w:rsidRDefault="00003B0B">
            <w:r>
              <w:t>• Низкий уровень квалификации предпринимателей</w:t>
            </w:r>
          </w:p>
          <w:p w14:paraId="5D13F003" w14:textId="77777777" w:rsidR="00014C1A" w:rsidRDefault="00003B0B">
            <w:r>
              <w:t>• Низкая заинтересованность молодежи в ведении предпринимательской деятельности</w:t>
            </w:r>
          </w:p>
        </w:tc>
      </w:tr>
      <w:tr w:rsidR="00014C1A" w14:paraId="5404EDC4" w14:textId="77777777">
        <w:trPr>
          <w:trHeight w:val="20"/>
        </w:trPr>
        <w:tc>
          <w:tcPr>
            <w:tcW w:w="85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46695985" w14:textId="77777777" w:rsidR="00014C1A" w:rsidRDefault="00003B0B">
            <w:r>
              <w:rPr>
                <w:b/>
                <w:bCs/>
              </w:rPr>
              <w:t>Т - Технологические и технические факторы</w:t>
            </w:r>
          </w:p>
        </w:tc>
        <w:tc>
          <w:tcPr>
            <w:tcW w:w="2066" w:type="pct"/>
            <w:tcBorders>
              <w:top w:val="nil"/>
              <w:left w:val="nil"/>
              <w:bottom w:val="single" w:sz="8" w:space="0" w:color="auto"/>
              <w:right w:val="single" w:sz="8" w:space="0" w:color="auto"/>
            </w:tcBorders>
            <w:tcMar>
              <w:top w:w="0" w:type="dxa"/>
              <w:left w:w="40" w:type="dxa"/>
              <w:bottom w:w="0" w:type="dxa"/>
              <w:right w:w="40" w:type="dxa"/>
            </w:tcMar>
            <w:hideMark/>
          </w:tcPr>
          <w:p w14:paraId="529C1763" w14:textId="77777777" w:rsidR="00014C1A" w:rsidRDefault="00003B0B">
            <w:r>
              <w:t>• Внедрение программ информатизации и развития предпринимательства на основе современных ИТ, системы электронной коммерции</w:t>
            </w:r>
          </w:p>
          <w:p w14:paraId="493A0329" w14:textId="77777777" w:rsidR="00014C1A" w:rsidRDefault="00003B0B">
            <w:r>
              <w:t>• Появление современных технологий производства и высокоэффективного оборудования для предпринимателей</w:t>
            </w:r>
          </w:p>
        </w:tc>
        <w:tc>
          <w:tcPr>
            <w:tcW w:w="2075" w:type="pct"/>
            <w:tcBorders>
              <w:top w:val="nil"/>
              <w:left w:val="nil"/>
              <w:bottom w:val="single" w:sz="8" w:space="0" w:color="auto"/>
              <w:right w:val="single" w:sz="8" w:space="0" w:color="auto"/>
            </w:tcBorders>
            <w:tcMar>
              <w:top w:w="0" w:type="dxa"/>
              <w:left w:w="40" w:type="dxa"/>
              <w:bottom w:w="0" w:type="dxa"/>
              <w:right w:w="40" w:type="dxa"/>
            </w:tcMar>
            <w:hideMark/>
          </w:tcPr>
          <w:p w14:paraId="51981FB3" w14:textId="77777777" w:rsidR="00014C1A" w:rsidRDefault="00003B0B">
            <w:r>
              <w:t>• Не востребованность современных информационных технологий среди целевой аудитории</w:t>
            </w:r>
          </w:p>
        </w:tc>
      </w:tr>
    </w:tbl>
    <w:p w14:paraId="5C226CF1" w14:textId="77777777" w:rsidR="00014C1A" w:rsidRDefault="00003B0B">
      <w:pPr>
        <w:ind w:firstLine="426"/>
        <w:jc w:val="both"/>
      </w:pPr>
      <w:r>
        <w:rPr>
          <w:b/>
          <w:bCs/>
        </w:rPr>
        <w:t> </w:t>
      </w:r>
    </w:p>
    <w:p w14:paraId="2FBA333E" w14:textId="77777777" w:rsidR="00014C1A" w:rsidRDefault="00003B0B">
      <w:pPr>
        <w:ind w:firstLine="426"/>
        <w:jc w:val="both"/>
      </w:pPr>
      <w:bookmarkStart w:id="7" w:name="SUB10300"/>
      <w:bookmarkEnd w:id="7"/>
      <w:r>
        <w:rPr>
          <w:b/>
          <w:bCs/>
        </w:rPr>
        <w:t>1.3. Основные направления государственной экономической политики по поддержке предпринимательства</w:t>
      </w:r>
    </w:p>
    <w:p w14:paraId="154C9543" w14:textId="77777777" w:rsidR="00014C1A" w:rsidRDefault="00003B0B">
      <w:pPr>
        <w:ind w:firstLine="426"/>
        <w:jc w:val="both"/>
      </w:pPr>
      <w:r>
        <w:lastRenderedPageBreak/>
        <w:t>Сегодня в Казахстане создаются все условия для успешного развития малого и среднего предпринимательства</w:t>
      </w:r>
      <w:r w:rsidR="00227D10">
        <w:t xml:space="preserve"> и </w:t>
      </w:r>
      <w:r w:rsidR="00227D10">
        <w:rPr>
          <w:rStyle w:val="s0"/>
        </w:rPr>
        <w:t>развития агропромышленного комплекса</w:t>
      </w:r>
      <w:r>
        <w:t>. Проведение целенаправленной и последовательной политики по поддержке ММСП является основным приоритетом экономического развития страны.</w:t>
      </w:r>
    </w:p>
    <w:p w14:paraId="3606E69C" w14:textId="77777777" w:rsidR="00014C1A" w:rsidRDefault="00003B0B">
      <w:pPr>
        <w:ind w:firstLine="426"/>
        <w:jc w:val="both"/>
      </w:pPr>
      <w:r>
        <w:t>Фонд в своей деятельности продолжит руководствоваться основными направлениями государственной экономической политики в сфере развития ММСП</w:t>
      </w:r>
      <w:r w:rsidR="008A0CA5">
        <w:t>,</w:t>
      </w:r>
      <w:r>
        <w:t xml:space="preserve"> </w:t>
      </w:r>
      <w:r w:rsidR="008A0CA5" w:rsidRPr="008A0CA5">
        <w:t>развития агропромышленного комплекса</w:t>
      </w:r>
      <w:r w:rsidR="008A0CA5">
        <w:t xml:space="preserve"> </w:t>
      </w:r>
      <w:r>
        <w:t>и повышения уровня благосостояния населения, а также другими задачами, поставленными Президентом и Правительством Республики Казахстан.</w:t>
      </w:r>
    </w:p>
    <w:p w14:paraId="41C9BC26" w14:textId="77777777" w:rsidR="00014C1A" w:rsidRDefault="00003B0B">
      <w:pPr>
        <w:ind w:firstLine="426"/>
        <w:jc w:val="both"/>
      </w:pPr>
      <w:r>
        <w:t>В декабре 2012 года в Послании Главы государства народу страны была представлена Стратегия развития РК до 2050 года. Ее главной целью является создание общества благоденствия на основе сильного государства, развитой экономики и возможностей всеобщего труда, вхождение Казахстана в 30-ку самых развитых стран мира. Одним из долгосрочных приоритетов для достижения этой цели является «Всесторонняя поддержка предпринимательства - ведущей силы национальной экономики».</w:t>
      </w:r>
    </w:p>
    <w:p w14:paraId="7343D099" w14:textId="34413B05" w:rsidR="00014C1A" w:rsidRDefault="00003B0B">
      <w:pPr>
        <w:ind w:firstLine="426"/>
        <w:jc w:val="both"/>
      </w:pPr>
      <w:r>
        <w:t xml:space="preserve">В </w:t>
      </w:r>
      <w:hyperlink r:id="rId27" w:history="1">
        <w:r>
          <w:rPr>
            <w:rStyle w:val="a5"/>
          </w:rPr>
          <w:t>Послании</w:t>
        </w:r>
      </w:hyperlink>
      <w:r>
        <w:t xml:space="preserve"> народу Казахстана «Казахстанский путь - 2050: </w:t>
      </w:r>
      <w:r w:rsidR="002161ED">
        <w:t>е</w:t>
      </w:r>
      <w:r>
        <w:t xml:space="preserve">диная цель, единые интересы, единое будущее», а также в Концепции </w:t>
      </w:r>
      <w:r w:rsidR="002161ED">
        <w:t xml:space="preserve">по </w:t>
      </w:r>
      <w:r>
        <w:t>вхождени</w:t>
      </w:r>
      <w:r w:rsidR="002161ED">
        <w:t xml:space="preserve">ю </w:t>
      </w:r>
      <w:r w:rsidR="002161ED">
        <w:rPr>
          <w:rStyle w:val="s0"/>
        </w:rPr>
        <w:t>Казахстана</w:t>
      </w:r>
      <w:r>
        <w:t xml:space="preserve"> в число 30 самых развитых государств мира, </w:t>
      </w:r>
      <w:r w:rsidR="002161ED">
        <w:rPr>
          <w:rStyle w:val="s0"/>
        </w:rPr>
        <w:t xml:space="preserve">Первый Президент Республики Казахстан - </w:t>
      </w:r>
      <w:r w:rsidR="002161ED" w:rsidRPr="00117CFE">
        <w:rPr>
          <w:rStyle w:val="s0"/>
        </w:rPr>
        <w:t>Нурсултан Назарбаев</w:t>
      </w:r>
      <w:r w:rsidRPr="00117CFE">
        <w:t xml:space="preserve"> выделил пять стратегических направлений</w:t>
      </w:r>
      <w:r>
        <w:t>, реализация которых будет способствовать вхождению Казахстана в число самых развитых стран мира, одним из которых является совершенствование институциональной среды, обеспечивающей благоприятные условия для развития бизнеса и предпринимательских инициатив.</w:t>
      </w:r>
    </w:p>
    <w:p w14:paraId="0BA672C6" w14:textId="24A4D3F8" w:rsidR="00014C1A" w:rsidRDefault="00003B0B">
      <w:pPr>
        <w:ind w:firstLine="426"/>
        <w:jc w:val="both"/>
      </w:pPr>
      <w:r>
        <w:t xml:space="preserve">Согласно Концепции </w:t>
      </w:r>
      <w:r w:rsidR="00F76661">
        <w:t xml:space="preserve">по </w:t>
      </w:r>
      <w:r>
        <w:t>вхождени</w:t>
      </w:r>
      <w:r w:rsidR="00F76661">
        <w:t xml:space="preserve">ю </w:t>
      </w:r>
      <w:r w:rsidR="00F76661">
        <w:rPr>
          <w:rStyle w:val="s0"/>
        </w:rPr>
        <w:t>Казахстана</w:t>
      </w:r>
      <w:r>
        <w:t xml:space="preserve"> в число 30 самых развитых государств мира главные элементы наукоемкой экономики - инновации, инвестиции и предпринимательство.</w:t>
      </w:r>
    </w:p>
    <w:p w14:paraId="0B8DCCB5" w14:textId="62649B0C" w:rsidR="00014C1A" w:rsidRPr="004618E7" w:rsidRDefault="00003B0B">
      <w:pPr>
        <w:ind w:firstLine="426"/>
        <w:jc w:val="both"/>
        <w:rPr>
          <w:color w:val="auto"/>
        </w:rPr>
      </w:pPr>
      <w:r>
        <w:t xml:space="preserve">Основой для экономического роста станут долгосрочный рост производительности труда, </w:t>
      </w:r>
      <w:r w:rsidRPr="004618E7">
        <w:rPr>
          <w:color w:val="auto"/>
        </w:rPr>
        <w:t>развитие инноваций, диверсификация производства и экспорта, а также развитие бизнес-секторов страны за счет привлечения внешних</w:t>
      </w:r>
      <w:r w:rsidR="00F76661" w:rsidRPr="004618E7">
        <w:rPr>
          <w:color w:val="auto"/>
        </w:rPr>
        <w:t xml:space="preserve">, </w:t>
      </w:r>
      <w:r w:rsidR="00F76661" w:rsidRPr="004618E7">
        <w:rPr>
          <w:rStyle w:val="s0"/>
          <w:color w:val="auto"/>
        </w:rPr>
        <w:t>внутренних ресурсов</w:t>
      </w:r>
      <w:r w:rsidRPr="004618E7">
        <w:rPr>
          <w:color w:val="auto"/>
        </w:rPr>
        <w:t xml:space="preserve"> и </w:t>
      </w:r>
      <w:r w:rsidR="00F76661" w:rsidRPr="004618E7">
        <w:rPr>
          <w:color w:val="auto"/>
        </w:rPr>
        <w:t xml:space="preserve">их </w:t>
      </w:r>
      <w:r w:rsidRPr="004618E7">
        <w:rPr>
          <w:color w:val="auto"/>
        </w:rPr>
        <w:t>активного использования.</w:t>
      </w:r>
    </w:p>
    <w:p w14:paraId="59F2E6C3" w14:textId="77777777" w:rsidR="00E47F0A" w:rsidRPr="004618E7" w:rsidRDefault="00E47F0A">
      <w:pPr>
        <w:ind w:firstLine="426"/>
        <w:jc w:val="both"/>
        <w:rPr>
          <w:color w:val="auto"/>
        </w:rPr>
      </w:pPr>
      <w:r w:rsidRPr="004618E7">
        <w:rPr>
          <w:rStyle w:val="s0"/>
          <w:color w:val="auto"/>
        </w:rPr>
        <w:t>Кроме того, согласно Посланию Главы Государства от 1 сентября 2020 года «Казахстан в новой реальности: время действий», Правительству Республики Казахстан поручено создать единый институт развития путем объединения АО «НУХ «Байтерек» и АО «НУХ «КазАгро» с двукратным сокращением портфельных компаний и соответствующей корректировкой штатной численности.</w:t>
      </w:r>
    </w:p>
    <w:p w14:paraId="568BAAB8" w14:textId="77777777" w:rsidR="00014C1A" w:rsidRPr="004618E7" w:rsidRDefault="00003B0B">
      <w:pPr>
        <w:ind w:firstLine="426"/>
        <w:jc w:val="both"/>
        <w:rPr>
          <w:color w:val="auto"/>
        </w:rPr>
      </w:pPr>
      <w:r w:rsidRPr="004618E7">
        <w:rPr>
          <w:color w:val="auto"/>
        </w:rPr>
        <w:t>Для дальнейшего развития экономики одним из важных приоритетов выделяется задача по развитию сектора ММСП как основного «двигателя» экономического роста, в т.ч. путем развития современных бизнес-компетенций (доля малого и среднего бизнеса в ВВП увеличится до 50% к 2050 году).</w:t>
      </w:r>
    </w:p>
    <w:p w14:paraId="4721338E" w14:textId="175F12E0" w:rsidR="00852959" w:rsidRPr="004618E7" w:rsidRDefault="00852959">
      <w:pPr>
        <w:ind w:firstLine="426"/>
        <w:jc w:val="both"/>
        <w:rPr>
          <w:color w:val="auto"/>
        </w:rPr>
      </w:pPr>
      <w:r w:rsidRPr="004618E7">
        <w:rPr>
          <w:color w:val="auto"/>
          <w:lang w:eastAsia="kk-KZ"/>
        </w:rPr>
        <w:t xml:space="preserve">В Послании Главы государства от 2 сентября 2019 года «Конструктивный общественный диалог – основа стабильности и процветания Казахстана» </w:t>
      </w:r>
      <w:r w:rsidR="00F105DB">
        <w:rPr>
          <w:color w:val="auto"/>
          <w:lang w:eastAsia="kk-KZ"/>
        </w:rPr>
        <w:t>с целью</w:t>
      </w:r>
      <w:r w:rsidRPr="004618E7">
        <w:rPr>
          <w:color w:val="auto"/>
          <w:lang w:eastAsia="kk-KZ"/>
        </w:rPr>
        <w:t xml:space="preserve"> дальнейшего развития экономики страны в качестве одной из важных структурных задач определен эффективный малый и средний бизнес, как прочная основа развития городов и сел.</w:t>
      </w:r>
    </w:p>
    <w:p w14:paraId="6BA13B66" w14:textId="6411B46F" w:rsidR="00F105DB" w:rsidRPr="00F105DB" w:rsidRDefault="00F105DB" w:rsidP="00F105DB">
      <w:pPr>
        <w:ind w:firstLine="426"/>
        <w:jc w:val="both"/>
        <w:rPr>
          <w:rFonts w:eastAsiaTheme="minorHAnsi"/>
        </w:rPr>
      </w:pPr>
      <w:r w:rsidRPr="00917B33">
        <w:rPr>
          <w:rFonts w:eastAsiaTheme="minorHAnsi"/>
        </w:rPr>
        <w:t xml:space="preserve">В </w:t>
      </w:r>
      <w:r>
        <w:rPr>
          <w:rFonts w:eastAsiaTheme="minorHAnsi"/>
        </w:rPr>
        <w:t xml:space="preserve">этой связи, государство через Фонд «Даму» оказывает поддержку </w:t>
      </w:r>
      <w:r w:rsidRPr="00917B33">
        <w:rPr>
          <w:rFonts w:eastAsiaTheme="minorHAnsi"/>
        </w:rPr>
        <w:t>субъект</w:t>
      </w:r>
      <w:r>
        <w:rPr>
          <w:rFonts w:eastAsiaTheme="minorHAnsi"/>
        </w:rPr>
        <w:t>ам</w:t>
      </w:r>
      <w:r w:rsidRPr="00917B33">
        <w:rPr>
          <w:rFonts w:eastAsiaTheme="minorHAnsi"/>
        </w:rPr>
        <w:t xml:space="preserve"> микро, малого и среднего предпринимательства через</w:t>
      </w:r>
      <w:r>
        <w:rPr>
          <w:rFonts w:eastAsiaTheme="minorHAnsi"/>
        </w:rPr>
        <w:t xml:space="preserve"> инструменты обусловленного размещения средств в</w:t>
      </w:r>
      <w:r w:rsidRPr="00917B33">
        <w:rPr>
          <w:rFonts w:eastAsiaTheme="minorHAnsi"/>
        </w:rPr>
        <w:t xml:space="preserve"> БВУ, МФО и ЛК, субсидирование ставок вознаграждения и гарантирование кредитов</w:t>
      </w:r>
      <w:r>
        <w:rPr>
          <w:rFonts w:eastAsiaTheme="minorHAnsi"/>
        </w:rPr>
        <w:t>.</w:t>
      </w:r>
      <w:r w:rsidRPr="00917B33">
        <w:rPr>
          <w:rFonts w:eastAsiaTheme="minorHAnsi"/>
        </w:rPr>
        <w:t xml:space="preserve"> </w:t>
      </w:r>
      <w:r>
        <w:rPr>
          <w:rFonts w:eastAsiaTheme="minorHAnsi"/>
        </w:rPr>
        <w:t xml:space="preserve">Также </w:t>
      </w:r>
      <w:r w:rsidRPr="00917B33">
        <w:rPr>
          <w:rFonts w:eastAsiaTheme="minorHAnsi"/>
        </w:rPr>
        <w:t xml:space="preserve">осуществляется привлечение средств дополнительных источников финансирования, автоматизация бизнес-процессов, </w:t>
      </w:r>
      <w:r>
        <w:rPr>
          <w:rFonts w:eastAsiaTheme="minorHAnsi"/>
        </w:rPr>
        <w:t xml:space="preserve">ведется </w:t>
      </w:r>
      <w:r w:rsidRPr="00917B33">
        <w:rPr>
          <w:rFonts w:eastAsiaTheme="minorHAnsi"/>
        </w:rPr>
        <w:t>работа по сопровождению проектов предпринимателей, прорабатываются вопросы международного сотрудничества</w:t>
      </w:r>
      <w:r>
        <w:rPr>
          <w:rFonts w:eastAsiaTheme="minorHAnsi"/>
        </w:rPr>
        <w:t xml:space="preserve"> и развития</w:t>
      </w:r>
      <w:r w:rsidRPr="00917B33">
        <w:rPr>
          <w:rFonts w:eastAsiaTheme="minorHAnsi"/>
        </w:rPr>
        <w:t xml:space="preserve"> информационной активности.</w:t>
      </w:r>
      <w:r w:rsidR="00C90D60">
        <w:rPr>
          <w:rFonts w:eastAsiaTheme="minorHAnsi"/>
        </w:rPr>
        <w:t xml:space="preserve"> </w:t>
      </w:r>
      <w:r w:rsidR="00C90D60" w:rsidRPr="00791956">
        <w:t>Посредством инструментов субсидирования ставок вознаграждения и гарантирования кредитов государство содействует выходу предприятий на устойчивое и прибыльное развитие. В свою очередь, предприятия</w:t>
      </w:r>
      <w:r w:rsidR="00C90D60">
        <w:t xml:space="preserve"> в </w:t>
      </w:r>
      <w:r w:rsidR="00C90D60">
        <w:lastRenderedPageBreak/>
        <w:t>процессе своей деятельности обеспечивают поступления в бюджет, повышая бюджетный эффект программы и ее экономическую обоснованность.</w:t>
      </w:r>
    </w:p>
    <w:p w14:paraId="3528E559" w14:textId="77777777" w:rsidR="004272F8" w:rsidRDefault="004272F8">
      <w:pPr>
        <w:ind w:firstLine="426"/>
        <w:jc w:val="both"/>
        <w:rPr>
          <w:i/>
          <w:color w:val="auto"/>
        </w:rPr>
      </w:pPr>
    </w:p>
    <w:p w14:paraId="1F123A8E" w14:textId="4A5EE2A0" w:rsidR="004272F8" w:rsidRPr="00791956" w:rsidRDefault="004272F8" w:rsidP="00791956">
      <w:pPr>
        <w:ind w:firstLine="426"/>
        <w:jc w:val="both"/>
        <w:rPr>
          <w:i/>
          <w:color w:val="auto"/>
        </w:rPr>
      </w:pPr>
      <w:r w:rsidRPr="00791956">
        <w:rPr>
          <w:i/>
          <w:color w:val="auto"/>
        </w:rPr>
        <w:t>Программа «ДКБ-2025»</w:t>
      </w:r>
    </w:p>
    <w:p w14:paraId="6DCB4A2B" w14:textId="533CC97E" w:rsidR="00014C1A" w:rsidRPr="004618E7" w:rsidRDefault="00175063" w:rsidP="00791956">
      <w:pPr>
        <w:ind w:firstLine="426"/>
        <w:jc w:val="both"/>
        <w:rPr>
          <w:color w:val="auto"/>
        </w:rPr>
      </w:pPr>
      <w:r w:rsidRPr="004618E7">
        <w:rPr>
          <w:color w:val="auto"/>
        </w:rPr>
        <w:t xml:space="preserve">До 02 февраля 2022 года </w:t>
      </w:r>
      <w:r w:rsidR="00286AA7">
        <w:rPr>
          <w:color w:val="auto"/>
        </w:rPr>
        <w:t xml:space="preserve">одним из </w:t>
      </w:r>
      <w:r w:rsidRPr="004618E7">
        <w:rPr>
          <w:color w:val="auto"/>
        </w:rPr>
        <w:t>в</w:t>
      </w:r>
      <w:r w:rsidR="00003B0B" w:rsidRPr="004618E7">
        <w:rPr>
          <w:color w:val="auto"/>
        </w:rPr>
        <w:t>ажны</w:t>
      </w:r>
      <w:r w:rsidR="00286AA7">
        <w:rPr>
          <w:color w:val="auto"/>
        </w:rPr>
        <w:t>х</w:t>
      </w:r>
      <w:r w:rsidR="00003B0B" w:rsidRPr="004618E7">
        <w:rPr>
          <w:color w:val="auto"/>
        </w:rPr>
        <w:t xml:space="preserve"> инструменто</w:t>
      </w:r>
      <w:r w:rsidR="00286AA7">
        <w:rPr>
          <w:color w:val="auto"/>
        </w:rPr>
        <w:t>в</w:t>
      </w:r>
      <w:r w:rsidR="00003B0B" w:rsidRPr="004618E7">
        <w:rPr>
          <w:color w:val="auto"/>
        </w:rPr>
        <w:t xml:space="preserve"> комплексной поддержки предпринимательства в Казахстане и его регионах </w:t>
      </w:r>
      <w:r w:rsidRPr="004618E7">
        <w:rPr>
          <w:color w:val="auto"/>
        </w:rPr>
        <w:t xml:space="preserve">являлась </w:t>
      </w:r>
      <w:hyperlink r:id="rId28" w:anchor="sub_id=100" w:history="1">
        <w:r w:rsidR="00852959" w:rsidRPr="004618E7">
          <w:rPr>
            <w:rStyle w:val="a5"/>
            <w:color w:val="auto"/>
          </w:rPr>
          <w:t>П</w:t>
        </w:r>
        <w:r w:rsidR="00003B0B" w:rsidRPr="004618E7">
          <w:rPr>
            <w:rStyle w:val="a5"/>
            <w:color w:val="auto"/>
          </w:rPr>
          <w:t>рограмма</w:t>
        </w:r>
      </w:hyperlink>
      <w:r w:rsidR="00003B0B" w:rsidRPr="004618E7">
        <w:rPr>
          <w:color w:val="auto"/>
        </w:rPr>
        <w:t xml:space="preserve"> «ДКБ</w:t>
      </w:r>
      <w:r w:rsidR="001C1E49">
        <w:rPr>
          <w:color w:val="auto"/>
        </w:rPr>
        <w:t>-</w:t>
      </w:r>
      <w:r w:rsidR="00852959" w:rsidRPr="004618E7">
        <w:rPr>
          <w:color w:val="auto"/>
        </w:rPr>
        <w:t>2025</w:t>
      </w:r>
      <w:r w:rsidR="00003B0B" w:rsidRPr="004618E7">
        <w:rPr>
          <w:color w:val="auto"/>
        </w:rPr>
        <w:t>».</w:t>
      </w:r>
      <w:r w:rsidR="004272F8">
        <w:rPr>
          <w:color w:val="auto"/>
        </w:rPr>
        <w:t xml:space="preserve"> Данная п</w:t>
      </w:r>
      <w:r w:rsidR="00003B0B" w:rsidRPr="004618E7">
        <w:rPr>
          <w:color w:val="auto"/>
        </w:rPr>
        <w:t xml:space="preserve">рограмма </w:t>
      </w:r>
      <w:r w:rsidRPr="004618E7">
        <w:rPr>
          <w:color w:val="auto"/>
        </w:rPr>
        <w:t xml:space="preserve">была </w:t>
      </w:r>
      <w:r w:rsidR="00B12E87" w:rsidRPr="004618E7">
        <w:rPr>
          <w:color w:val="auto"/>
          <w:lang w:eastAsia="kk-KZ"/>
        </w:rPr>
        <w:t>направлена на достижение цели посланий Президента Республики Казахстан народу Казахстана "Стратегия "Казахстан-2050": новый политический курс состоявшегося государства" от 14 декабря 2012 года и "Казахстанский путь-2050: Единая цель, единые интересы, единое будущее" от 17 января 2014 года</w:t>
      </w:r>
      <w:r w:rsidRPr="004618E7">
        <w:rPr>
          <w:color w:val="auto"/>
          <w:lang w:eastAsia="kk-KZ"/>
        </w:rPr>
        <w:t xml:space="preserve"> и </w:t>
      </w:r>
      <w:r w:rsidRPr="004618E7">
        <w:rPr>
          <w:color w:val="auto"/>
        </w:rPr>
        <w:t>предусматривала совершенствование инструментов финансовой поддержки и продление Программы «ДКБ</w:t>
      </w:r>
      <w:r w:rsidR="001C1E49">
        <w:rPr>
          <w:color w:val="auto"/>
        </w:rPr>
        <w:t>-</w:t>
      </w:r>
      <w:r w:rsidRPr="004618E7">
        <w:rPr>
          <w:color w:val="auto"/>
        </w:rPr>
        <w:t>2020» до 2025 года</w:t>
      </w:r>
      <w:r w:rsidR="00003B0B" w:rsidRPr="004618E7">
        <w:rPr>
          <w:color w:val="auto"/>
        </w:rPr>
        <w:t>.</w:t>
      </w:r>
    </w:p>
    <w:p w14:paraId="2AE93A33" w14:textId="5E0AB85E" w:rsidR="00B12E87" w:rsidRPr="004618E7" w:rsidRDefault="00B12E87" w:rsidP="004618E7">
      <w:pPr>
        <w:ind w:firstLine="426"/>
        <w:contextualSpacing/>
        <w:jc w:val="both"/>
        <w:rPr>
          <w:color w:val="auto"/>
          <w:lang w:eastAsia="kk-KZ"/>
        </w:rPr>
      </w:pPr>
      <w:r w:rsidRPr="004618E7">
        <w:rPr>
          <w:color w:val="auto"/>
          <w:lang w:eastAsia="kk-KZ"/>
        </w:rPr>
        <w:t xml:space="preserve">Программа </w:t>
      </w:r>
      <w:r w:rsidRPr="004618E7">
        <w:rPr>
          <w:color w:val="auto"/>
        </w:rPr>
        <w:t>«ДКБ</w:t>
      </w:r>
      <w:r w:rsidR="001C1E49">
        <w:rPr>
          <w:color w:val="auto"/>
        </w:rPr>
        <w:t>-</w:t>
      </w:r>
      <w:r w:rsidRPr="004618E7">
        <w:rPr>
          <w:color w:val="auto"/>
        </w:rPr>
        <w:t xml:space="preserve">2025» </w:t>
      </w:r>
      <w:r w:rsidR="00175063" w:rsidRPr="004618E7">
        <w:rPr>
          <w:color w:val="auto"/>
        </w:rPr>
        <w:t xml:space="preserve">была </w:t>
      </w:r>
      <w:r w:rsidRPr="004618E7">
        <w:rPr>
          <w:color w:val="auto"/>
          <w:lang w:eastAsia="kk-KZ"/>
        </w:rPr>
        <w:t>разработана в целях реализации Общенационального плана мероприятий по реализации Послания Главы государства народу Казахстана от 05 октября 2018 года "Рост благосостояния казахстанцев: повышение доходов и качества жизни", утвержденного Указом Президента Республики Казахстан от 12 октября 2018 года № 772 "О мерах по реализации Послания Главы государства народу Казахстана от 5 октября 2018 года.</w:t>
      </w:r>
    </w:p>
    <w:p w14:paraId="506A83A1" w14:textId="77777777" w:rsidR="00B12E87" w:rsidRPr="004618E7" w:rsidRDefault="00B12E87" w:rsidP="00B12E87">
      <w:pPr>
        <w:contextualSpacing/>
        <w:jc w:val="both"/>
        <w:rPr>
          <w:color w:val="auto"/>
          <w:lang w:eastAsia="kk-KZ"/>
        </w:rPr>
      </w:pPr>
      <w:bookmarkStart w:id="8" w:name="z47"/>
      <w:r w:rsidRPr="004618E7">
        <w:rPr>
          <w:color w:val="auto"/>
          <w:lang w:eastAsia="kk-KZ"/>
        </w:rPr>
        <w:t>      От состояния и уровня развития частного предпринимательства и, в первую очередь, малого и среднего предпринимательства, зависит обеспечение устойчивого экономического развития страны в целом. Именно этот сектор экономики имеет огромные потенциальные возможности для решения многих проблем, влияющих на экономический рост государства, таких как неразвитая конкуренция, неэффективное использование материальных и нематериальных ресурсов, зависимость внутреннего спроса от импорта, безработица, бедность и др.</w:t>
      </w:r>
    </w:p>
    <w:bookmarkEnd w:id="8"/>
    <w:p w14:paraId="7C09F5AC" w14:textId="78B558AB" w:rsidR="00014C1A" w:rsidRPr="004618E7" w:rsidRDefault="00B12E87">
      <w:pPr>
        <w:ind w:firstLine="426"/>
        <w:jc w:val="both"/>
        <w:rPr>
          <w:color w:val="auto"/>
        </w:rPr>
      </w:pPr>
      <w:r w:rsidRPr="004618E7">
        <w:rPr>
          <w:color w:val="auto"/>
          <w:lang w:eastAsia="kk-KZ"/>
        </w:rPr>
        <w:t>Целями Программы</w:t>
      </w:r>
      <w:r w:rsidR="00175063" w:rsidRPr="004618E7">
        <w:rPr>
          <w:color w:val="auto"/>
          <w:lang w:eastAsia="kk-KZ"/>
        </w:rPr>
        <w:t xml:space="preserve"> </w:t>
      </w:r>
      <w:r w:rsidR="00175063" w:rsidRPr="004618E7">
        <w:rPr>
          <w:color w:val="auto"/>
        </w:rPr>
        <w:t>«ДКБ</w:t>
      </w:r>
      <w:r w:rsidR="001C1E49">
        <w:rPr>
          <w:color w:val="auto"/>
        </w:rPr>
        <w:t>-</w:t>
      </w:r>
      <w:r w:rsidR="00175063" w:rsidRPr="004618E7">
        <w:rPr>
          <w:color w:val="auto"/>
        </w:rPr>
        <w:t>2025»</w:t>
      </w:r>
      <w:r w:rsidRPr="004618E7">
        <w:rPr>
          <w:color w:val="auto"/>
          <w:lang w:eastAsia="kk-KZ"/>
        </w:rPr>
        <w:t xml:space="preserve"> явля</w:t>
      </w:r>
      <w:r w:rsidR="00175063" w:rsidRPr="004618E7">
        <w:rPr>
          <w:color w:val="auto"/>
          <w:lang w:eastAsia="kk-KZ"/>
        </w:rPr>
        <w:t>лись</w:t>
      </w:r>
      <w:r w:rsidRPr="004618E7">
        <w:rPr>
          <w:color w:val="auto"/>
          <w:lang w:eastAsia="kk-KZ"/>
        </w:rPr>
        <w:t xml:space="preserve"> обеспечение устойчивого и сбалансированного роста регионального предпринимательства, а также поддержание действующих и создание новых постоянных рабочих мест.</w:t>
      </w:r>
    </w:p>
    <w:p w14:paraId="4D36572E" w14:textId="00FCBF5A" w:rsidR="00175063" w:rsidRPr="004618E7" w:rsidRDefault="00175063" w:rsidP="00175063">
      <w:pPr>
        <w:ind w:firstLine="426"/>
        <w:jc w:val="both"/>
        <w:rPr>
          <w:color w:val="auto"/>
        </w:rPr>
      </w:pPr>
      <w:r w:rsidRPr="004618E7">
        <w:rPr>
          <w:color w:val="auto"/>
        </w:rPr>
        <w:t>С момента реализации Программы «ДКБ</w:t>
      </w:r>
      <w:r w:rsidR="001C1E49">
        <w:rPr>
          <w:color w:val="auto"/>
        </w:rPr>
        <w:t>-</w:t>
      </w:r>
      <w:r w:rsidRPr="004618E7">
        <w:rPr>
          <w:color w:val="auto"/>
        </w:rPr>
        <w:t>2025» можно констатировать, что Программа «ДКБ</w:t>
      </w:r>
      <w:r w:rsidR="001C1E49">
        <w:rPr>
          <w:color w:val="auto"/>
        </w:rPr>
        <w:t>-</w:t>
      </w:r>
      <w:r w:rsidRPr="004618E7">
        <w:rPr>
          <w:color w:val="auto"/>
        </w:rPr>
        <w:t>2025» состоялась. Программа обрела значительную популярность среди предпринимателей, механизмы взаимодействия государственных органов и БВУ отработаны, и уже сегодня можно говорить об исполнении ряда целевых индикаторов программы.</w:t>
      </w:r>
    </w:p>
    <w:p w14:paraId="586C0E27" w14:textId="7B45A261" w:rsidR="00175063" w:rsidRPr="004618E7" w:rsidRDefault="00175063" w:rsidP="00175063">
      <w:pPr>
        <w:ind w:firstLine="426"/>
        <w:jc w:val="both"/>
        <w:rPr>
          <w:color w:val="auto"/>
        </w:rPr>
      </w:pPr>
      <w:r w:rsidRPr="004618E7">
        <w:rPr>
          <w:color w:val="auto"/>
        </w:rPr>
        <w:t>В сопоставлении с общим объемом кредитного портфеля БВУ в приоритетных секторах экономики доля программы «ДКБ</w:t>
      </w:r>
      <w:r w:rsidR="001C1E49">
        <w:rPr>
          <w:color w:val="auto"/>
        </w:rPr>
        <w:t>-</w:t>
      </w:r>
      <w:r w:rsidRPr="004618E7">
        <w:rPr>
          <w:color w:val="auto"/>
        </w:rPr>
        <w:t>2025» составила 23%. Таким образом, в сопоставлении с рынком 1 из 5 тенге кредитов в приоритетных секторах экономики выдается участникам программ Фонда «Даму».</w:t>
      </w:r>
    </w:p>
    <w:p w14:paraId="5BAA5BB8" w14:textId="49B47838" w:rsidR="00175063" w:rsidRPr="004618E7" w:rsidRDefault="00175063" w:rsidP="00175063">
      <w:pPr>
        <w:ind w:firstLine="426"/>
        <w:jc w:val="both"/>
        <w:rPr>
          <w:color w:val="auto"/>
        </w:rPr>
      </w:pPr>
      <w:r w:rsidRPr="004618E7">
        <w:rPr>
          <w:color w:val="auto"/>
        </w:rPr>
        <w:t xml:space="preserve">По данным Налогового комитета Республики Казахстан сумма выплаченных налогов предприятиями-участниками программы за 2020 год составила 573,5 </w:t>
      </w:r>
      <w:r w:rsidR="00B646B3">
        <w:rPr>
          <w:color w:val="auto"/>
        </w:rPr>
        <w:t>млрд</w:t>
      </w:r>
      <w:r w:rsidRPr="004618E7">
        <w:rPr>
          <w:color w:val="auto"/>
        </w:rPr>
        <w:t xml:space="preserve"> тенге.</w:t>
      </w:r>
    </w:p>
    <w:p w14:paraId="318D9157" w14:textId="6C6875E7" w:rsidR="00175063" w:rsidRPr="004618E7" w:rsidRDefault="00175063" w:rsidP="00175063">
      <w:pPr>
        <w:ind w:firstLine="426"/>
        <w:jc w:val="both"/>
        <w:rPr>
          <w:color w:val="auto"/>
        </w:rPr>
      </w:pPr>
      <w:r w:rsidRPr="004618E7">
        <w:rPr>
          <w:color w:val="auto"/>
        </w:rPr>
        <w:t>Широкий охват сектора предпринимательства Программой «ДКБ</w:t>
      </w:r>
      <w:r w:rsidR="001C1E49">
        <w:rPr>
          <w:color w:val="auto"/>
        </w:rPr>
        <w:t>-</w:t>
      </w:r>
      <w:r w:rsidRPr="004618E7">
        <w:rPr>
          <w:color w:val="auto"/>
        </w:rPr>
        <w:t>2025» и растущий интерес к программе со стороны субъектов ММСП позволяет оценивать социальный эффект от ее реализации, который выражается в обеспечении населения рабочими местами. Общее количество поддержанных рабочих мест в рамках Программы «ДКБ</w:t>
      </w:r>
      <w:r w:rsidR="001C1E49">
        <w:rPr>
          <w:color w:val="auto"/>
        </w:rPr>
        <w:t>-</w:t>
      </w:r>
      <w:r w:rsidRPr="004618E7">
        <w:rPr>
          <w:color w:val="auto"/>
        </w:rPr>
        <w:t>2025» составило 424,3 тыс. человек, при этом участниками программы создано 103,9 тыс. новых рабочих мест.</w:t>
      </w:r>
    </w:p>
    <w:p w14:paraId="7CC0334D" w14:textId="77777777" w:rsidR="00175063" w:rsidRDefault="00175063">
      <w:pPr>
        <w:ind w:firstLine="426"/>
        <w:jc w:val="both"/>
      </w:pPr>
    </w:p>
    <w:p w14:paraId="4CC79C4D" w14:textId="00123BD3" w:rsidR="00175063" w:rsidRPr="00791956" w:rsidRDefault="00175063" w:rsidP="00A21508">
      <w:pPr>
        <w:pStyle w:val="pc"/>
        <w:ind w:firstLine="426"/>
        <w:jc w:val="both"/>
        <w:rPr>
          <w:i/>
        </w:rPr>
      </w:pPr>
      <w:r w:rsidRPr="00791956">
        <w:rPr>
          <w:rStyle w:val="s0"/>
          <w:i/>
        </w:rPr>
        <w:t>Национальный проект по развитию предпринимательства</w:t>
      </w:r>
      <w:r w:rsidR="001148FF" w:rsidRPr="00791956">
        <w:rPr>
          <w:rStyle w:val="s0"/>
          <w:i/>
        </w:rPr>
        <w:t xml:space="preserve"> на 2021-2025</w:t>
      </w:r>
    </w:p>
    <w:p w14:paraId="2CE660E4" w14:textId="22F902BE" w:rsidR="007A303B" w:rsidRDefault="007A303B" w:rsidP="00791956">
      <w:pPr>
        <w:pStyle w:val="pc"/>
        <w:ind w:firstLine="426"/>
        <w:jc w:val="both"/>
      </w:pPr>
      <w:r>
        <w:rPr>
          <w:rStyle w:val="s0"/>
        </w:rPr>
        <w:t>Постановлением Правительства Республики Казахстан от 12 октября 2021 года № 728 утвержден Национальный проект по развитию предпринимательства</w:t>
      </w:r>
      <w:r w:rsidR="0089166D">
        <w:rPr>
          <w:rStyle w:val="s0"/>
        </w:rPr>
        <w:t xml:space="preserve"> на 2021-2025</w:t>
      </w:r>
      <w:r>
        <w:rPr>
          <w:rStyle w:val="s0"/>
        </w:rPr>
        <w:t xml:space="preserve">, в рамках которого </w:t>
      </w:r>
      <w:r>
        <w:t xml:space="preserve">постановлением Правительства РК от 2 февраля 2022 года №43 утверждены правила субсидирования ставок вознаграждения и гарантирования. Данным </w:t>
      </w:r>
      <w:r>
        <w:lastRenderedPageBreak/>
        <w:t>Постановлением Программа «ДКБ</w:t>
      </w:r>
      <w:r w:rsidR="001C1E49">
        <w:t>-</w:t>
      </w:r>
      <w:r>
        <w:t>2025», утвержденная постановлением Правительства РК №968 от 24.12.2019г., признана утратившей силу.</w:t>
      </w:r>
    </w:p>
    <w:p w14:paraId="19A86E5C" w14:textId="3EEA675F" w:rsidR="002F7E9D" w:rsidRPr="00E415CD" w:rsidRDefault="002F7E9D" w:rsidP="002F7E9D">
      <w:pPr>
        <w:ind w:firstLine="426"/>
        <w:jc w:val="both"/>
      </w:pPr>
      <w:r w:rsidRPr="002870DC">
        <w:rPr>
          <w:bCs/>
        </w:rPr>
        <w:t>И</w:t>
      </w:r>
      <w:r w:rsidRPr="002870DC">
        <w:rPr>
          <w:rStyle w:val="s0"/>
        </w:rPr>
        <w:t xml:space="preserve">зменения и дополнения в </w:t>
      </w:r>
      <w:r>
        <w:rPr>
          <w:rStyle w:val="s0"/>
        </w:rPr>
        <w:t>условия</w:t>
      </w:r>
      <w:r w:rsidRPr="002870DC">
        <w:rPr>
          <w:rStyle w:val="s0"/>
        </w:rPr>
        <w:t xml:space="preserve"> субсидирования и гарантирования направлены на стимулирование </w:t>
      </w:r>
      <w:r>
        <w:rPr>
          <w:rStyle w:val="s0"/>
        </w:rPr>
        <w:t>М</w:t>
      </w:r>
      <w:r w:rsidRPr="002870DC">
        <w:rPr>
          <w:bCs/>
        </w:rPr>
        <w:t>МСП</w:t>
      </w:r>
      <w:r w:rsidRPr="002870DC">
        <w:rPr>
          <w:rStyle w:val="s0"/>
        </w:rPr>
        <w:t xml:space="preserve"> для </w:t>
      </w:r>
      <w:r w:rsidRPr="002870DC">
        <w:t>поддержания действующих и создания новых постоянных рабочих мест</w:t>
      </w:r>
      <w:r w:rsidRPr="002870DC">
        <w:rPr>
          <w:rStyle w:val="s0"/>
        </w:rPr>
        <w:t>, увеличения уровня производства отечественных предприятий и обеспечения большей доступности финансирования.</w:t>
      </w:r>
    </w:p>
    <w:p w14:paraId="1A778911" w14:textId="45EAEF91" w:rsidR="00175063" w:rsidRDefault="00175063" w:rsidP="00DE0B59">
      <w:pPr>
        <w:pStyle w:val="pc"/>
        <w:ind w:firstLine="400"/>
        <w:jc w:val="both"/>
      </w:pPr>
      <w:r>
        <w:rPr>
          <w:rStyle w:val="s0"/>
        </w:rPr>
        <w:t xml:space="preserve">Даму является финансовым агентом Национального проекта и осуществляет поддержку </w:t>
      </w:r>
      <w:r w:rsidR="002F7E9D">
        <w:rPr>
          <w:rStyle w:val="s0"/>
        </w:rPr>
        <w:t>М</w:t>
      </w:r>
      <w:r>
        <w:rPr>
          <w:rStyle w:val="s0"/>
        </w:rPr>
        <w:t>МС</w:t>
      </w:r>
      <w:r w:rsidR="002F7E9D">
        <w:rPr>
          <w:rStyle w:val="s0"/>
        </w:rPr>
        <w:t>П</w:t>
      </w:r>
      <w:r>
        <w:rPr>
          <w:rStyle w:val="s0"/>
        </w:rPr>
        <w:t xml:space="preserve"> путем субсидирования ставок вознаграждения по кредитам</w:t>
      </w:r>
      <w:r w:rsidR="00835802">
        <w:rPr>
          <w:rStyle w:val="s0"/>
        </w:rPr>
        <w:t>/ микрокредитам/ лизинговым сделкам</w:t>
      </w:r>
      <w:r w:rsidR="00D22943">
        <w:rPr>
          <w:rStyle w:val="s0"/>
        </w:rPr>
        <w:t>/ субсидирования ставки купонного вознаграждения по облигациям</w:t>
      </w:r>
      <w:r>
        <w:rPr>
          <w:rStyle w:val="s0"/>
        </w:rPr>
        <w:t xml:space="preserve"> и гарантирования кредитов</w:t>
      </w:r>
      <w:r w:rsidR="00D22943">
        <w:rPr>
          <w:rStyle w:val="s0"/>
        </w:rPr>
        <w:t>/микрокредитов/ лизинговых сделок/облигаций</w:t>
      </w:r>
      <w:r>
        <w:rPr>
          <w:rStyle w:val="s0"/>
        </w:rPr>
        <w:t xml:space="preserve"> в рамках двух задач:</w:t>
      </w:r>
    </w:p>
    <w:p w14:paraId="76D21C2D" w14:textId="77777777" w:rsidR="00175063" w:rsidRDefault="00175063" w:rsidP="00175063">
      <w:pPr>
        <w:pStyle w:val="pj"/>
      </w:pPr>
      <w:r>
        <w:rPr>
          <w:rStyle w:val="s0"/>
        </w:rPr>
        <w:t>1) повышение доступности финансирования для субъектов предпринимательства;</w:t>
      </w:r>
    </w:p>
    <w:p w14:paraId="758FE3BB" w14:textId="44A9BC6B" w:rsidR="00175063" w:rsidRDefault="00175063" w:rsidP="00175063">
      <w:pPr>
        <w:pStyle w:val="pj"/>
        <w:rPr>
          <w:rStyle w:val="s0"/>
        </w:rPr>
      </w:pPr>
      <w:r>
        <w:rPr>
          <w:rStyle w:val="s0"/>
        </w:rPr>
        <w:t>2) создание условий для открытия и развития собственного дела.</w:t>
      </w:r>
    </w:p>
    <w:p w14:paraId="187D995C" w14:textId="77777777" w:rsidR="00453EB1" w:rsidRDefault="00453EB1">
      <w:pPr>
        <w:ind w:firstLine="426"/>
        <w:jc w:val="both"/>
      </w:pPr>
    </w:p>
    <w:p w14:paraId="2522BAF3" w14:textId="4269A4A3" w:rsidR="00014C1A" w:rsidRDefault="00003B0B">
      <w:pPr>
        <w:ind w:firstLine="426"/>
        <w:jc w:val="both"/>
      </w:pPr>
      <w:r>
        <w:t xml:space="preserve">Все меры поддержки в рамках </w:t>
      </w:r>
      <w:r w:rsidR="00F161E0">
        <w:t>Национального проекта</w:t>
      </w:r>
      <w:r w:rsidR="00175063">
        <w:t xml:space="preserve"> </w:t>
      </w:r>
      <w:r>
        <w:t xml:space="preserve">разделены по направлениям в зависимости от целевых сегментов и мер поддержки: </w:t>
      </w:r>
    </w:p>
    <w:p w14:paraId="55435139" w14:textId="69DDC8D8" w:rsidR="00D22943" w:rsidRPr="00A66772" w:rsidRDefault="00F161E0" w:rsidP="00D20D56">
      <w:pPr>
        <w:pStyle w:val="af1"/>
        <w:numPr>
          <w:ilvl w:val="0"/>
          <w:numId w:val="1"/>
        </w:numPr>
        <w:spacing w:after="120" w:line="240" w:lineRule="auto"/>
        <w:ind w:left="426" w:hanging="1"/>
        <w:jc w:val="both"/>
        <w:rPr>
          <w:iCs/>
        </w:rPr>
      </w:pPr>
      <w:r w:rsidRPr="00A66772">
        <w:rPr>
          <w:rFonts w:ascii="Times New Roman" w:hAnsi="Times New Roman"/>
          <w:iCs/>
          <w:sz w:val="24"/>
          <w:szCs w:val="24"/>
          <w:u w:val="single"/>
        </w:rPr>
        <w:t>Поддержка микро- и малого предпринимательства</w:t>
      </w:r>
      <w:r w:rsidR="00D22943">
        <w:rPr>
          <w:rFonts w:ascii="Times New Roman" w:hAnsi="Times New Roman"/>
          <w:iCs/>
          <w:sz w:val="24"/>
          <w:szCs w:val="24"/>
          <w:lang w:val="ru-RU"/>
        </w:rPr>
        <w:t>:</w:t>
      </w:r>
    </w:p>
    <w:p w14:paraId="6B9A8FAD" w14:textId="0F45F865" w:rsidR="00D22943" w:rsidRPr="00C95EDB" w:rsidRDefault="00D22943" w:rsidP="00452440">
      <w:pPr>
        <w:pStyle w:val="af1"/>
        <w:spacing w:after="120" w:line="240" w:lineRule="auto"/>
        <w:ind w:left="0" w:firstLine="709"/>
        <w:jc w:val="both"/>
        <w:rPr>
          <w:rFonts w:ascii="Times New Roman" w:hAnsi="Times New Roman"/>
          <w:iCs/>
          <w:sz w:val="24"/>
          <w:szCs w:val="24"/>
          <w:lang w:val="ru-RU"/>
        </w:rPr>
      </w:pPr>
      <w:r w:rsidRPr="00C95EDB">
        <w:rPr>
          <w:rFonts w:ascii="Times New Roman" w:hAnsi="Times New Roman"/>
          <w:iCs/>
          <w:sz w:val="24"/>
          <w:szCs w:val="24"/>
          <w:lang w:val="ru-RU"/>
        </w:rPr>
        <w:t>- предполагает предоставление портфельного субсидирования / гарантирования субъектам микро- и малого предпринимательства в БВУ/МФО</w:t>
      </w:r>
      <w:r w:rsidR="004B7650" w:rsidRPr="00C95EDB">
        <w:rPr>
          <w:rFonts w:ascii="Times New Roman" w:hAnsi="Times New Roman"/>
          <w:iCs/>
          <w:sz w:val="24"/>
          <w:szCs w:val="24"/>
          <w:lang w:val="ru-RU"/>
        </w:rPr>
        <w:t xml:space="preserve"> и исламских банках</w:t>
      </w:r>
      <w:r w:rsidRPr="00C95EDB">
        <w:rPr>
          <w:rFonts w:ascii="Times New Roman" w:hAnsi="Times New Roman"/>
          <w:iCs/>
          <w:sz w:val="24"/>
          <w:szCs w:val="24"/>
          <w:lang w:val="ru-RU"/>
        </w:rPr>
        <w:t>;</w:t>
      </w:r>
    </w:p>
    <w:p w14:paraId="21226E74" w14:textId="77777777" w:rsidR="00053544" w:rsidRDefault="00D22943" w:rsidP="00452440">
      <w:pPr>
        <w:pStyle w:val="af1"/>
        <w:spacing w:after="120" w:line="240" w:lineRule="auto"/>
        <w:ind w:left="0" w:firstLine="709"/>
        <w:jc w:val="both"/>
        <w:rPr>
          <w:rFonts w:ascii="Times New Roman" w:hAnsi="Times New Roman"/>
          <w:iCs/>
          <w:sz w:val="24"/>
          <w:szCs w:val="24"/>
          <w:lang w:val="ru-RU"/>
        </w:rPr>
      </w:pPr>
      <w:r w:rsidRPr="00C95EDB">
        <w:rPr>
          <w:rFonts w:ascii="Times New Roman" w:hAnsi="Times New Roman"/>
          <w:iCs/>
          <w:sz w:val="24"/>
          <w:szCs w:val="24"/>
          <w:lang w:val="ru-RU"/>
        </w:rPr>
        <w:t xml:space="preserve">- </w:t>
      </w:r>
      <w:r w:rsidR="00C16AA3" w:rsidRPr="00C95EDB">
        <w:rPr>
          <w:rFonts w:ascii="Times New Roman" w:hAnsi="Times New Roman"/>
          <w:iCs/>
          <w:sz w:val="24"/>
          <w:szCs w:val="24"/>
          <w:lang w:val="ru-RU"/>
        </w:rPr>
        <w:t>поддержка осуществляется без отраслевых ограничений, за исключением деятельности ломбардов, микрофинансовых, факторинговых организаций и лизинговых компаний, а также в сфере торговли (</w:t>
      </w:r>
      <w:r w:rsidR="00A3655F" w:rsidRPr="00C95EDB">
        <w:rPr>
          <w:rFonts w:ascii="Times New Roman" w:hAnsi="Times New Roman"/>
          <w:iCs/>
          <w:sz w:val="24"/>
          <w:szCs w:val="24"/>
          <w:lang w:val="ru-RU"/>
        </w:rPr>
        <w:t xml:space="preserve">при этом, </w:t>
      </w:r>
      <w:r w:rsidR="00C16AA3" w:rsidRPr="00C95EDB">
        <w:rPr>
          <w:rFonts w:ascii="Times New Roman" w:hAnsi="Times New Roman"/>
          <w:iCs/>
          <w:sz w:val="24"/>
          <w:szCs w:val="24"/>
          <w:lang w:val="ru-RU"/>
        </w:rPr>
        <w:t>допускается торговля продуктами питания)</w:t>
      </w:r>
      <w:r w:rsidR="00053544">
        <w:rPr>
          <w:rFonts w:ascii="Times New Roman" w:hAnsi="Times New Roman"/>
          <w:iCs/>
          <w:sz w:val="24"/>
          <w:szCs w:val="24"/>
          <w:lang w:val="ru-RU"/>
        </w:rPr>
        <w:t>;</w:t>
      </w:r>
    </w:p>
    <w:p w14:paraId="6E7FB122" w14:textId="7C6EF92E" w:rsidR="00F161E0" w:rsidRPr="00C95EDB" w:rsidRDefault="00053544" w:rsidP="00452440">
      <w:pPr>
        <w:pStyle w:val="af1"/>
        <w:spacing w:after="120" w:line="240" w:lineRule="auto"/>
        <w:ind w:left="0" w:firstLine="709"/>
        <w:jc w:val="both"/>
        <w:rPr>
          <w:rFonts w:ascii="Times New Roman" w:hAnsi="Times New Roman"/>
          <w:iCs/>
          <w:sz w:val="24"/>
          <w:szCs w:val="24"/>
          <w:lang w:val="ru-RU"/>
        </w:rPr>
      </w:pPr>
      <w:r>
        <w:rPr>
          <w:rFonts w:ascii="Times New Roman" w:hAnsi="Times New Roman"/>
          <w:iCs/>
          <w:sz w:val="24"/>
          <w:szCs w:val="24"/>
          <w:lang w:val="ru-RU"/>
        </w:rPr>
        <w:t xml:space="preserve">- максимальная сумма </w:t>
      </w:r>
      <w:r w:rsidRPr="00236175">
        <w:rPr>
          <w:rStyle w:val="s0"/>
          <w:color w:val="auto"/>
          <w:sz w:val="24"/>
          <w:szCs w:val="24"/>
        </w:rPr>
        <w:t>кредита</w:t>
      </w:r>
      <w:r w:rsidRPr="00236175">
        <w:rPr>
          <w:rStyle w:val="s0"/>
          <w:color w:val="auto"/>
          <w:sz w:val="24"/>
          <w:szCs w:val="24"/>
          <w:lang w:val="ru-RU"/>
        </w:rPr>
        <w:t xml:space="preserve"> </w:t>
      </w:r>
      <w:r w:rsidRPr="00236175">
        <w:rPr>
          <w:rStyle w:val="s0"/>
          <w:color w:val="auto"/>
          <w:sz w:val="24"/>
          <w:szCs w:val="24"/>
        </w:rPr>
        <w:t>/</w:t>
      </w:r>
      <w:r w:rsidRPr="00236175">
        <w:rPr>
          <w:rStyle w:val="s0"/>
          <w:color w:val="auto"/>
          <w:sz w:val="24"/>
          <w:szCs w:val="24"/>
          <w:lang w:val="ru-RU"/>
        </w:rPr>
        <w:t xml:space="preserve"> </w:t>
      </w:r>
      <w:r w:rsidRPr="00236175">
        <w:rPr>
          <w:rStyle w:val="s0"/>
          <w:color w:val="auto"/>
          <w:sz w:val="24"/>
          <w:szCs w:val="24"/>
        </w:rPr>
        <w:t>микрокредита</w:t>
      </w:r>
      <w:r w:rsidRPr="00236175">
        <w:rPr>
          <w:rStyle w:val="s0"/>
          <w:color w:val="auto"/>
          <w:sz w:val="24"/>
          <w:szCs w:val="24"/>
          <w:lang w:val="ru-RU"/>
        </w:rPr>
        <w:t xml:space="preserve"> </w:t>
      </w:r>
      <w:r w:rsidRPr="00236175">
        <w:rPr>
          <w:rStyle w:val="s0"/>
          <w:color w:val="auto"/>
          <w:sz w:val="24"/>
          <w:szCs w:val="24"/>
        </w:rPr>
        <w:t>/</w:t>
      </w:r>
      <w:r w:rsidRPr="00236175">
        <w:rPr>
          <w:rStyle w:val="s0"/>
          <w:color w:val="auto"/>
          <w:sz w:val="24"/>
          <w:szCs w:val="24"/>
          <w:lang w:val="ru-RU"/>
        </w:rPr>
        <w:t xml:space="preserve"> </w:t>
      </w:r>
      <w:r w:rsidRPr="00236175">
        <w:rPr>
          <w:rStyle w:val="s0"/>
          <w:color w:val="auto"/>
          <w:sz w:val="24"/>
          <w:szCs w:val="24"/>
        </w:rPr>
        <w:t>финансирования на инвестиционные цели</w:t>
      </w:r>
      <w:r w:rsidRPr="00236175">
        <w:rPr>
          <w:rStyle w:val="s0"/>
          <w:color w:val="auto"/>
          <w:sz w:val="24"/>
          <w:szCs w:val="24"/>
          <w:lang w:val="ru-RU"/>
        </w:rPr>
        <w:t xml:space="preserve"> </w:t>
      </w:r>
      <w:r w:rsidRPr="00236175">
        <w:rPr>
          <w:rStyle w:val="s0"/>
          <w:color w:val="auto"/>
          <w:sz w:val="24"/>
          <w:szCs w:val="24"/>
        </w:rPr>
        <w:t>не более 20 (двадцать) млн тенге и на пополнение оборотных средств – не более 5 (пять)</w:t>
      </w:r>
      <w:r>
        <w:rPr>
          <w:rStyle w:val="s0"/>
          <w:color w:val="auto"/>
          <w:sz w:val="24"/>
          <w:szCs w:val="24"/>
          <w:lang w:val="ru-RU"/>
        </w:rPr>
        <w:t xml:space="preserve"> </w:t>
      </w:r>
      <w:r w:rsidRPr="00236175">
        <w:rPr>
          <w:rStyle w:val="s0"/>
          <w:color w:val="auto"/>
          <w:sz w:val="24"/>
          <w:szCs w:val="24"/>
        </w:rPr>
        <w:t>млн тенге</w:t>
      </w:r>
      <w:r>
        <w:rPr>
          <w:rStyle w:val="s0"/>
          <w:color w:val="auto"/>
          <w:sz w:val="24"/>
          <w:szCs w:val="24"/>
          <w:lang w:val="ru-RU"/>
        </w:rPr>
        <w:t>.</w:t>
      </w:r>
    </w:p>
    <w:p w14:paraId="1826519E" w14:textId="4FF6AE84" w:rsidR="00DE6087" w:rsidRPr="00A66772" w:rsidRDefault="00F161E0" w:rsidP="00452440">
      <w:pPr>
        <w:pStyle w:val="af1"/>
        <w:numPr>
          <w:ilvl w:val="0"/>
          <w:numId w:val="1"/>
        </w:numPr>
        <w:spacing w:after="120" w:line="240" w:lineRule="auto"/>
        <w:ind w:left="0" w:firstLine="426"/>
        <w:jc w:val="both"/>
      </w:pPr>
      <w:r w:rsidRPr="00A66772">
        <w:rPr>
          <w:rFonts w:ascii="Times New Roman" w:hAnsi="Times New Roman"/>
          <w:iCs/>
          <w:sz w:val="24"/>
          <w:szCs w:val="24"/>
          <w:u w:val="single"/>
        </w:rPr>
        <w:t>Поддержка предпринимателей/субъектов индустриально-инновационной деятельности</w:t>
      </w:r>
      <w:r w:rsidR="00DE6087">
        <w:rPr>
          <w:rFonts w:ascii="Times New Roman" w:hAnsi="Times New Roman"/>
          <w:iCs/>
          <w:sz w:val="24"/>
          <w:szCs w:val="24"/>
          <w:lang w:val="ru-RU"/>
        </w:rPr>
        <w:t>:</w:t>
      </w:r>
    </w:p>
    <w:p w14:paraId="65F8DDDD" w14:textId="375FE51E" w:rsidR="003566E6" w:rsidRDefault="00DE6087" w:rsidP="00452440">
      <w:pPr>
        <w:pStyle w:val="af1"/>
        <w:spacing w:after="120" w:line="240" w:lineRule="auto"/>
        <w:ind w:left="0" w:firstLine="709"/>
        <w:jc w:val="both"/>
        <w:rPr>
          <w:rFonts w:ascii="Times New Roman" w:hAnsi="Times New Roman"/>
          <w:iCs/>
          <w:sz w:val="24"/>
          <w:szCs w:val="24"/>
          <w:lang w:val="ru-RU"/>
        </w:rPr>
      </w:pPr>
      <w:r w:rsidRPr="00A66772">
        <w:rPr>
          <w:rFonts w:ascii="Times New Roman" w:hAnsi="Times New Roman"/>
          <w:iCs/>
          <w:sz w:val="24"/>
          <w:szCs w:val="24"/>
          <w:lang w:val="ru-RU"/>
        </w:rPr>
        <w:t>-</w:t>
      </w:r>
      <w:r>
        <w:rPr>
          <w:rFonts w:ascii="Times New Roman" w:hAnsi="Times New Roman"/>
          <w:iCs/>
          <w:sz w:val="24"/>
          <w:szCs w:val="24"/>
          <w:lang w:val="ru-RU"/>
        </w:rPr>
        <w:t xml:space="preserve"> </w:t>
      </w:r>
      <w:r w:rsidR="004B7650">
        <w:rPr>
          <w:rFonts w:ascii="Times New Roman" w:hAnsi="Times New Roman"/>
          <w:iCs/>
          <w:sz w:val="24"/>
          <w:szCs w:val="24"/>
          <w:lang w:val="ru-RU"/>
        </w:rPr>
        <w:t xml:space="preserve">предполагает предоставление инструментов субсидирования / гарантирования по проектам </w:t>
      </w:r>
      <w:r w:rsidR="003566E6">
        <w:rPr>
          <w:rFonts w:ascii="Times New Roman" w:hAnsi="Times New Roman"/>
          <w:iCs/>
          <w:sz w:val="24"/>
          <w:szCs w:val="24"/>
          <w:lang w:val="ru-RU"/>
        </w:rPr>
        <w:t xml:space="preserve">БВУ/ЛК </w:t>
      </w:r>
      <w:r w:rsidR="004B7650">
        <w:rPr>
          <w:rFonts w:ascii="Times New Roman" w:hAnsi="Times New Roman"/>
          <w:iCs/>
          <w:sz w:val="24"/>
          <w:szCs w:val="24"/>
          <w:lang w:val="ru-RU"/>
        </w:rPr>
        <w:t xml:space="preserve">в приоритетных секторах экономики в рамках 63 ОКЭД, в том числе: производство продуктов питания, </w:t>
      </w:r>
      <w:r w:rsidR="000D5A2D">
        <w:rPr>
          <w:rFonts w:ascii="Times New Roman" w:hAnsi="Times New Roman"/>
          <w:iCs/>
          <w:sz w:val="24"/>
          <w:szCs w:val="24"/>
          <w:lang w:val="ru-RU"/>
        </w:rPr>
        <w:t>одежды, мебели, строительных материалов, автомобилей, транспорт и складирование, туризм, телекоммуникации, аренда складских помещений, легковых автомобилей, образо</w:t>
      </w:r>
      <w:r w:rsidR="00496152">
        <w:rPr>
          <w:rFonts w:ascii="Times New Roman" w:hAnsi="Times New Roman"/>
          <w:iCs/>
          <w:sz w:val="24"/>
          <w:szCs w:val="24"/>
          <w:lang w:val="ru-RU"/>
        </w:rPr>
        <w:t>вание, здравоохранение и другое;</w:t>
      </w:r>
    </w:p>
    <w:p w14:paraId="74E5865D" w14:textId="5DE9F358" w:rsidR="00496152" w:rsidRDefault="00496152" w:rsidP="00452440">
      <w:pPr>
        <w:pStyle w:val="af1"/>
        <w:spacing w:after="120" w:line="240" w:lineRule="auto"/>
        <w:ind w:left="0" w:firstLine="709"/>
        <w:jc w:val="both"/>
        <w:rPr>
          <w:rFonts w:ascii="Times New Roman" w:hAnsi="Times New Roman"/>
          <w:iCs/>
          <w:sz w:val="24"/>
          <w:szCs w:val="24"/>
          <w:lang w:val="ru-RU"/>
        </w:rPr>
      </w:pPr>
      <w:r>
        <w:rPr>
          <w:rFonts w:ascii="Times New Roman" w:hAnsi="Times New Roman"/>
          <w:sz w:val="24"/>
          <w:szCs w:val="24"/>
          <w:lang w:val="ru-RU"/>
        </w:rPr>
        <w:t>- максимальная сумма кредита/финансового лизинга по инструменту гарантирования составляет не более 1 млрд тенге/500 млн тенге для финансового лизинга, по инструменту субсидирования не более 3 млрд тенге;</w:t>
      </w:r>
    </w:p>
    <w:p w14:paraId="6B0B56C8" w14:textId="303ECD2C" w:rsidR="00452440" w:rsidRPr="002C4753" w:rsidRDefault="003566E6" w:rsidP="00236175">
      <w:pPr>
        <w:pStyle w:val="af1"/>
        <w:spacing w:after="0" w:line="240" w:lineRule="auto"/>
        <w:ind w:left="0" w:firstLine="709"/>
        <w:jc w:val="both"/>
        <w:rPr>
          <w:rFonts w:ascii="Times New Roman" w:hAnsi="Times New Roman"/>
          <w:sz w:val="24"/>
          <w:szCs w:val="24"/>
          <w:lang w:val="ru-RU"/>
        </w:rPr>
      </w:pPr>
      <w:r>
        <w:rPr>
          <w:rFonts w:ascii="Times New Roman" w:hAnsi="Times New Roman"/>
          <w:iCs/>
          <w:sz w:val="24"/>
          <w:szCs w:val="24"/>
          <w:lang w:val="ru-RU"/>
        </w:rPr>
        <w:t>- субсидирование/гарантирование по п</w:t>
      </w:r>
      <w:r w:rsidRPr="00A66772">
        <w:rPr>
          <w:rFonts w:ascii="Times New Roman" w:hAnsi="Times New Roman"/>
          <w:iCs/>
          <w:sz w:val="24"/>
          <w:szCs w:val="24"/>
          <w:lang w:val="ru-RU"/>
        </w:rPr>
        <w:t>роектам, реализуемы</w:t>
      </w:r>
      <w:r>
        <w:rPr>
          <w:rFonts w:ascii="Times New Roman" w:hAnsi="Times New Roman"/>
          <w:iCs/>
          <w:sz w:val="24"/>
          <w:szCs w:val="24"/>
          <w:lang w:val="ru-RU"/>
        </w:rPr>
        <w:t>м</w:t>
      </w:r>
      <w:r w:rsidRPr="00A66772">
        <w:rPr>
          <w:rFonts w:ascii="Times New Roman" w:hAnsi="Times New Roman"/>
          <w:iCs/>
          <w:sz w:val="24"/>
          <w:szCs w:val="24"/>
          <w:lang w:val="ru-RU"/>
        </w:rPr>
        <w:t xml:space="preserve">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осуществляются без отраслевых ограничений</w:t>
      </w:r>
      <w:r w:rsidR="005A715E">
        <w:rPr>
          <w:rFonts w:ascii="Times New Roman" w:hAnsi="Times New Roman"/>
          <w:iCs/>
          <w:sz w:val="24"/>
          <w:szCs w:val="24"/>
          <w:lang w:val="ru-RU"/>
        </w:rPr>
        <w:t xml:space="preserve">, </w:t>
      </w:r>
      <w:r w:rsidR="00496152">
        <w:rPr>
          <w:rFonts w:ascii="Times New Roman" w:hAnsi="Times New Roman"/>
          <w:iCs/>
          <w:sz w:val="24"/>
          <w:szCs w:val="24"/>
          <w:lang w:val="ru-RU"/>
        </w:rPr>
        <w:t xml:space="preserve">на сумму не более 1,5 млрд тенге при субсидировании и не более 360 млн тенге при гарантировании. А также возможно предоставление инструмента субсидирования/гарантирования по проектам на </w:t>
      </w:r>
      <w:r w:rsidR="005A715E">
        <w:rPr>
          <w:rFonts w:ascii="Times New Roman" w:hAnsi="Times New Roman"/>
          <w:iCs/>
          <w:sz w:val="24"/>
          <w:szCs w:val="24"/>
          <w:lang w:val="ru-RU"/>
        </w:rPr>
        <w:t xml:space="preserve">пополнение оборотных средств </w:t>
      </w:r>
      <w:r w:rsidR="005A715E" w:rsidRPr="00A66772">
        <w:rPr>
          <w:rFonts w:ascii="Times New Roman" w:hAnsi="Times New Roman"/>
          <w:sz w:val="24"/>
          <w:szCs w:val="24"/>
        </w:rPr>
        <w:t>в сфере торговой деятельности на сумму не более 100 (сто) млн тенге для одного предпринимателя</w:t>
      </w:r>
      <w:r w:rsidR="002C4753">
        <w:rPr>
          <w:rFonts w:ascii="Times New Roman" w:hAnsi="Times New Roman"/>
          <w:sz w:val="24"/>
          <w:szCs w:val="24"/>
          <w:lang w:val="ru-RU"/>
        </w:rPr>
        <w:t>.</w:t>
      </w:r>
    </w:p>
    <w:p w14:paraId="4447737C" w14:textId="47A07E9D" w:rsidR="00496152" w:rsidRDefault="00496152" w:rsidP="00236175">
      <w:pPr>
        <w:pStyle w:val="af1"/>
        <w:spacing w:after="0" w:line="240" w:lineRule="auto"/>
        <w:ind w:left="0" w:firstLine="709"/>
        <w:jc w:val="both"/>
        <w:rPr>
          <w:rFonts w:ascii="Times New Roman" w:hAnsi="Times New Roman"/>
          <w:sz w:val="24"/>
          <w:szCs w:val="24"/>
          <w:lang w:val="ru-RU"/>
        </w:rPr>
      </w:pPr>
    </w:p>
    <w:p w14:paraId="6214AA77" w14:textId="71335618" w:rsidR="00C95EDB" w:rsidRPr="00021A61" w:rsidRDefault="00C95EDB" w:rsidP="00236175">
      <w:pPr>
        <w:pStyle w:val="af1"/>
        <w:numPr>
          <w:ilvl w:val="0"/>
          <w:numId w:val="1"/>
        </w:numPr>
        <w:spacing w:after="0" w:line="240" w:lineRule="auto"/>
        <w:ind w:left="0" w:firstLine="425"/>
        <w:jc w:val="both"/>
        <w:rPr>
          <w:rFonts w:ascii="Times New Roman" w:hAnsi="Times New Roman"/>
          <w:iCs/>
          <w:sz w:val="24"/>
          <w:szCs w:val="24"/>
          <w:u w:val="single"/>
        </w:rPr>
      </w:pPr>
      <w:r w:rsidRPr="00452440">
        <w:rPr>
          <w:rFonts w:ascii="Times New Roman" w:hAnsi="Times New Roman"/>
          <w:iCs/>
          <w:sz w:val="24"/>
          <w:szCs w:val="24"/>
          <w:u w:val="single"/>
        </w:rPr>
        <w:t>Региональная программа поддержки субъектов малого и среднего предпринимательства</w:t>
      </w:r>
      <w:r w:rsidRPr="00021A61">
        <w:rPr>
          <w:rFonts w:ascii="Times New Roman" w:hAnsi="Times New Roman"/>
          <w:sz w:val="24"/>
          <w:szCs w:val="24"/>
          <w:lang w:val="ru-RU"/>
        </w:rPr>
        <w:t>:</w:t>
      </w:r>
    </w:p>
    <w:p w14:paraId="22A661FE" w14:textId="3522EA53" w:rsidR="00021A61" w:rsidRPr="00021A61" w:rsidRDefault="00C95EDB" w:rsidP="00C202F9">
      <w:pPr>
        <w:tabs>
          <w:tab w:val="left" w:pos="993"/>
        </w:tabs>
        <w:ind w:firstLine="709"/>
        <w:jc w:val="both"/>
      </w:pPr>
      <w:r w:rsidRPr="00021A61">
        <w:t>-</w:t>
      </w:r>
      <w:r w:rsidRPr="00021A61">
        <w:tab/>
      </w:r>
      <w:r w:rsidR="00104300">
        <w:t xml:space="preserve">предполагает </w:t>
      </w:r>
      <w:r w:rsidR="00BD4A2F">
        <w:t>предоставление</w:t>
      </w:r>
      <w:r w:rsidR="00104300">
        <w:t xml:space="preserve"> инструмента субсидирования</w:t>
      </w:r>
      <w:r w:rsidR="00021A61" w:rsidRPr="00021A61">
        <w:t xml:space="preserve"> в социально уязвимых регионах или в период ввода чрезвычайного положения/чрезвычайной ситуации, или иных случаях по письменному согласованию местным исполнительным органом с уполномоченным органом по предпринимательству.</w:t>
      </w:r>
    </w:p>
    <w:p w14:paraId="7371268D" w14:textId="58B0ACF6" w:rsidR="00021A61" w:rsidRPr="00021A61" w:rsidRDefault="00A710DC" w:rsidP="00C202F9">
      <w:pPr>
        <w:ind w:firstLine="709"/>
        <w:jc w:val="both"/>
      </w:pPr>
      <w:r>
        <w:t xml:space="preserve">- </w:t>
      </w:r>
      <w:r w:rsidR="00021A61" w:rsidRPr="00021A61">
        <w:t>Основные условия:</w:t>
      </w:r>
    </w:p>
    <w:p w14:paraId="56E0E83B" w14:textId="77777777" w:rsidR="00021A61" w:rsidRPr="00021A61" w:rsidRDefault="00021A61" w:rsidP="00C202F9">
      <w:pPr>
        <w:ind w:firstLine="709"/>
        <w:jc w:val="both"/>
      </w:pPr>
      <w:r w:rsidRPr="00021A61">
        <w:t xml:space="preserve">Субсидирование осуществляется без отраслевых ограничений. </w:t>
      </w:r>
    </w:p>
    <w:p w14:paraId="0D3A06C3" w14:textId="77777777" w:rsidR="00021A61" w:rsidRPr="00021A61" w:rsidRDefault="00021A61" w:rsidP="00C202F9">
      <w:pPr>
        <w:ind w:firstLine="709"/>
        <w:jc w:val="both"/>
      </w:pPr>
      <w:r w:rsidRPr="00021A61">
        <w:t>Сумма кредита не более 500 000 000 тенге. По микрокредиту не более 8000 МРП.</w:t>
      </w:r>
    </w:p>
    <w:p w14:paraId="06222CD4" w14:textId="77777777" w:rsidR="00021A61" w:rsidRPr="00021A61" w:rsidRDefault="00021A61" w:rsidP="00C202F9">
      <w:pPr>
        <w:ind w:firstLine="709"/>
        <w:jc w:val="both"/>
      </w:pPr>
      <w:r w:rsidRPr="00021A61">
        <w:lastRenderedPageBreak/>
        <w:t>Ставка по кредиту – не более 8,5% годовых.</w:t>
      </w:r>
    </w:p>
    <w:p w14:paraId="037E7533" w14:textId="681E6727" w:rsidR="00021A61" w:rsidRPr="00021A61" w:rsidRDefault="00021A61" w:rsidP="00C202F9">
      <w:pPr>
        <w:ind w:firstLine="709"/>
        <w:jc w:val="both"/>
      </w:pPr>
      <w:r w:rsidRPr="00021A61">
        <w:t>Ставка вознаграждения, оплачиваемая СМСП - не менее 1% годовых.</w:t>
      </w:r>
    </w:p>
    <w:p w14:paraId="0A2765E7" w14:textId="77777777" w:rsidR="00C202F9" w:rsidRDefault="00C202F9" w:rsidP="00DE0B59">
      <w:pPr>
        <w:ind w:firstLine="425"/>
        <w:jc w:val="both"/>
        <w:rPr>
          <w:rFonts w:eastAsia="Calibri"/>
          <w:iCs/>
          <w:color w:val="auto"/>
          <w:lang w:eastAsia="en-US"/>
        </w:rPr>
      </w:pPr>
    </w:p>
    <w:p w14:paraId="794B0F22" w14:textId="33657A9A" w:rsidR="00C202F9" w:rsidRPr="009C262D" w:rsidRDefault="00C202F9" w:rsidP="009C262D">
      <w:pPr>
        <w:pStyle w:val="af1"/>
        <w:numPr>
          <w:ilvl w:val="0"/>
          <w:numId w:val="1"/>
        </w:numPr>
        <w:spacing w:after="0" w:line="240" w:lineRule="auto"/>
        <w:ind w:left="0" w:firstLine="425"/>
        <w:jc w:val="both"/>
        <w:rPr>
          <w:rFonts w:ascii="Times New Roman" w:hAnsi="Times New Roman"/>
          <w:iCs/>
          <w:sz w:val="24"/>
          <w:szCs w:val="24"/>
        </w:rPr>
      </w:pPr>
      <w:r w:rsidRPr="009C262D">
        <w:rPr>
          <w:rFonts w:ascii="Times New Roman" w:hAnsi="Times New Roman"/>
          <w:iCs/>
          <w:sz w:val="24"/>
          <w:szCs w:val="24"/>
          <w:u w:val="single"/>
        </w:rPr>
        <w:t>Национальный проект также предусматривает</w:t>
      </w:r>
      <w:r w:rsidR="00875339" w:rsidRPr="009C262D">
        <w:rPr>
          <w:rFonts w:ascii="Times New Roman" w:hAnsi="Times New Roman"/>
          <w:iCs/>
          <w:sz w:val="24"/>
          <w:szCs w:val="24"/>
          <w:u w:val="single"/>
        </w:rPr>
        <w:t xml:space="preserve"> внедрение нового механизма – гарантирование по облигациям, выпущенным субъектами предпринимательства.</w:t>
      </w:r>
      <w:r w:rsidR="00875339" w:rsidRPr="009C262D">
        <w:rPr>
          <w:rFonts w:ascii="Times New Roman" w:hAnsi="Times New Roman"/>
          <w:iCs/>
          <w:sz w:val="24"/>
          <w:szCs w:val="24"/>
        </w:rPr>
        <w:t xml:space="preserve"> Данный механизм разработан совместно с Агентством Республики Казахстан по регулированию и развитию финансового рынка (АРРФР), Казахстанской фондовой биржей KASE и Международным финансовым центром «Астана» (МФЦА). Основная цель данного мероприятия – создание альтернативного канала финансирования субъектов МСБ за счет средств частных и институциональных инвесторов на площадках KASE и МФЦА, с применением инструмента гарантирования. </w:t>
      </w:r>
      <w:r w:rsidR="00565226" w:rsidRPr="009C262D">
        <w:rPr>
          <w:rFonts w:ascii="Times New Roman" w:hAnsi="Times New Roman"/>
          <w:iCs/>
          <w:sz w:val="24"/>
          <w:szCs w:val="24"/>
        </w:rPr>
        <w:t>Гарантирование предоставляется на следующих основных условиях</w:t>
      </w:r>
      <w:r w:rsidR="00875339" w:rsidRPr="009C262D">
        <w:rPr>
          <w:rFonts w:ascii="Times New Roman" w:hAnsi="Times New Roman"/>
          <w:iCs/>
          <w:sz w:val="24"/>
          <w:szCs w:val="24"/>
        </w:rPr>
        <w:t>: размер гарантии до 50 % от номинальной стоимости размещенных облигаций, суммарная номинальная стоимость выпуска облигаций эмитента не более 5 млрд тенге, срок гарантирования до 5 лет</w:t>
      </w:r>
      <w:r w:rsidR="00565226" w:rsidRPr="009C262D">
        <w:rPr>
          <w:rFonts w:ascii="Times New Roman" w:hAnsi="Times New Roman"/>
          <w:iCs/>
          <w:sz w:val="24"/>
          <w:szCs w:val="24"/>
        </w:rPr>
        <w:t>.</w:t>
      </w:r>
    </w:p>
    <w:p w14:paraId="7020FC6F" w14:textId="263B9CA4" w:rsidR="00C202F9" w:rsidRDefault="00C202F9" w:rsidP="004B02C8">
      <w:pPr>
        <w:ind w:firstLine="425"/>
        <w:jc w:val="both"/>
        <w:rPr>
          <w:color w:val="auto"/>
        </w:rPr>
      </w:pPr>
    </w:p>
    <w:p w14:paraId="57F4F59A" w14:textId="5E5E8AA1" w:rsidR="00BE7443" w:rsidRDefault="00BE7443" w:rsidP="004B02C8">
      <w:pPr>
        <w:ind w:firstLine="425"/>
        <w:jc w:val="both"/>
        <w:rPr>
          <w:color w:val="auto"/>
        </w:rPr>
      </w:pPr>
      <w:r>
        <w:rPr>
          <w:color w:val="auto"/>
        </w:rPr>
        <w:t xml:space="preserve">Дополнительно Национальный проект включает в себя </w:t>
      </w:r>
      <w:r w:rsidR="00530552">
        <w:t>условия</w:t>
      </w:r>
      <w:r w:rsidRPr="004B02C8">
        <w:t xml:space="preserve"> субсидирования ставки купонного вознаграждения по облигациям, выпущенным субъектами предпринимательства и </w:t>
      </w:r>
      <w:r w:rsidR="00530552">
        <w:t>условия</w:t>
      </w:r>
      <w:r w:rsidRPr="004B02C8">
        <w:t xml:space="preserve">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w:t>
      </w:r>
      <w:r w:rsidR="00530552">
        <w:t>.</w:t>
      </w:r>
    </w:p>
    <w:p w14:paraId="4DF6E12D" w14:textId="77777777" w:rsidR="00BE7443" w:rsidRPr="00DE0B59" w:rsidRDefault="00BE7443" w:rsidP="004B02C8">
      <w:pPr>
        <w:ind w:firstLine="425"/>
        <w:jc w:val="both"/>
        <w:rPr>
          <w:color w:val="auto"/>
        </w:rPr>
      </w:pPr>
    </w:p>
    <w:p w14:paraId="4C15CA12" w14:textId="2F215D3B" w:rsidR="00014C1A" w:rsidRPr="00DE0B59" w:rsidRDefault="00003B0B">
      <w:pPr>
        <w:ind w:firstLine="426"/>
        <w:jc w:val="both"/>
        <w:rPr>
          <w:color w:val="auto"/>
        </w:rPr>
      </w:pPr>
      <w:r w:rsidRPr="00DE0B59">
        <w:rPr>
          <w:color w:val="auto"/>
        </w:rPr>
        <w:t xml:space="preserve">Став участником </w:t>
      </w:r>
      <w:r w:rsidR="00E415CD" w:rsidRPr="00DE0B59">
        <w:rPr>
          <w:color w:val="auto"/>
        </w:rPr>
        <w:t>Национального проекта</w:t>
      </w:r>
      <w:r w:rsidRPr="00DE0B59">
        <w:rPr>
          <w:color w:val="auto"/>
        </w:rPr>
        <w:t>, предприниматели могут:</w:t>
      </w:r>
    </w:p>
    <w:p w14:paraId="7AF5ED67" w14:textId="22489797" w:rsidR="00014C1A" w:rsidRDefault="00003B0B">
      <w:pPr>
        <w:ind w:firstLine="426"/>
        <w:jc w:val="both"/>
      </w:pPr>
      <w:r w:rsidRPr="00DE0B59">
        <w:rPr>
          <w:color w:val="auto"/>
        </w:rPr>
        <w:t xml:space="preserve">1. Снизить ставку вознаграждения </w:t>
      </w:r>
      <w:r w:rsidRPr="00EC6B6B">
        <w:rPr>
          <w:color w:val="auto"/>
        </w:rPr>
        <w:t xml:space="preserve">по </w:t>
      </w:r>
      <w:r>
        <w:t>своему кредиту</w:t>
      </w:r>
      <w:r w:rsidR="00E415CD">
        <w:t>/микрокредиту/</w:t>
      </w:r>
      <w:r>
        <w:t>договору финансового лизинга за счет субсиди</w:t>
      </w:r>
      <w:r w:rsidR="00A02BE3">
        <w:t>й</w:t>
      </w:r>
      <w:r>
        <w:t xml:space="preserve"> от государства.</w:t>
      </w:r>
    </w:p>
    <w:p w14:paraId="47A17297" w14:textId="55EC51A6" w:rsidR="00014C1A" w:rsidRDefault="00003B0B">
      <w:pPr>
        <w:ind w:firstLine="426"/>
        <w:jc w:val="both"/>
      </w:pPr>
      <w:r>
        <w:t>2. Получить государственную гарантию</w:t>
      </w:r>
      <w:r w:rsidR="00286AA7">
        <w:t xml:space="preserve"> </w:t>
      </w:r>
      <w:r w:rsidR="00A02BE3">
        <w:t>при недостаточности залогового обеспечения</w:t>
      </w:r>
      <w:r>
        <w:t>.</w:t>
      </w:r>
    </w:p>
    <w:p w14:paraId="500C852E" w14:textId="77777777" w:rsidR="00A3076A" w:rsidRDefault="00A3076A">
      <w:pPr>
        <w:ind w:firstLine="426"/>
        <w:jc w:val="both"/>
      </w:pPr>
    </w:p>
    <w:p w14:paraId="71064E5D" w14:textId="262F868E" w:rsidR="00A3076A" w:rsidRPr="002C051A" w:rsidRDefault="00D70EFE" w:rsidP="008A681C">
      <w:pPr>
        <w:ind w:firstLine="426"/>
        <w:jc w:val="both"/>
        <w:rPr>
          <w:i/>
        </w:rPr>
      </w:pPr>
      <w:r w:rsidRPr="00D26938">
        <w:rPr>
          <w:i/>
        </w:rPr>
        <w:t>Механизм кредитования и финансового лизинга приоритетных проектов «</w:t>
      </w:r>
      <w:r w:rsidR="00ED1665">
        <w:rPr>
          <w:i/>
        </w:rPr>
        <w:t>э</w:t>
      </w:r>
      <w:r w:rsidRPr="00D26938">
        <w:rPr>
          <w:i/>
        </w:rPr>
        <w:t>кономика простых вещей»</w:t>
      </w:r>
    </w:p>
    <w:p w14:paraId="01E99947" w14:textId="13F10F9D" w:rsidR="00406EAB" w:rsidRDefault="00D70EFE">
      <w:pPr>
        <w:ind w:firstLine="426"/>
        <w:jc w:val="both"/>
      </w:pPr>
      <w:r w:rsidRPr="00917B33">
        <w:t xml:space="preserve">В целях диверсификации экономики, увеличения темпов роста объемов производства, снижения стоимости продукции производства, то есть развития и функционирования обрабатывающей промышленности, </w:t>
      </w:r>
      <w:r w:rsidR="00D629F4">
        <w:t xml:space="preserve">Постановлением Правительства Республики Казахстан </w:t>
      </w:r>
      <w:r>
        <w:t xml:space="preserve">11 декабря 2018 года </w:t>
      </w:r>
      <w:r w:rsidR="00D629F4">
        <w:t xml:space="preserve">№820, </w:t>
      </w:r>
      <w:r w:rsidRPr="00917B33">
        <w:t xml:space="preserve">реализован Механизм кредитования </w:t>
      </w:r>
      <w:r w:rsidR="008D44D9" w:rsidRPr="008D44D9">
        <w:t>и финансового лизинга</w:t>
      </w:r>
      <w:r w:rsidR="008D44D9" w:rsidRPr="004540A9">
        <w:rPr>
          <w:sz w:val="20"/>
          <w:szCs w:val="20"/>
        </w:rPr>
        <w:t xml:space="preserve"> </w:t>
      </w:r>
      <w:r w:rsidRPr="00917B33">
        <w:t>приоритетных проектов по обеспечению долгосрочной тенговой ликвидности</w:t>
      </w:r>
      <w:r>
        <w:t xml:space="preserve"> «</w:t>
      </w:r>
      <w:r w:rsidR="00ED1665">
        <w:t>э</w:t>
      </w:r>
      <w:r>
        <w:t>кономика простых вещей». Для реализации данной программы</w:t>
      </w:r>
      <w:r w:rsidR="00FD7F57">
        <w:t>,</w:t>
      </w:r>
      <w:r>
        <w:t xml:space="preserve"> </w:t>
      </w:r>
      <w:r w:rsidR="00C90D60">
        <w:t>запланированный</w:t>
      </w:r>
      <w:r w:rsidRPr="00917B33">
        <w:t xml:space="preserve"> объем финансирования БВУ</w:t>
      </w:r>
      <w:r>
        <w:t>/ЛК</w:t>
      </w:r>
      <w:r w:rsidRPr="00917B33">
        <w:t xml:space="preserve"> в 2018–202</w:t>
      </w:r>
      <w:r>
        <w:t>1</w:t>
      </w:r>
      <w:r w:rsidRPr="00917B33">
        <w:t xml:space="preserve"> годах</w:t>
      </w:r>
      <w:r w:rsidR="00FD7F57">
        <w:t xml:space="preserve"> составил</w:t>
      </w:r>
      <w:r w:rsidRPr="00917B33">
        <w:t xml:space="preserve"> до 1 трлн тенге</w:t>
      </w:r>
      <w:r w:rsidR="00FD7F57">
        <w:t>, который был направлен</w:t>
      </w:r>
      <w:r w:rsidRPr="00D70EFE">
        <w:t xml:space="preserve"> </w:t>
      </w:r>
      <w:r w:rsidR="00FD7F57">
        <w:t>на</w:t>
      </w:r>
      <w:r w:rsidRPr="00917B33">
        <w:t xml:space="preserve"> поддержк</w:t>
      </w:r>
      <w:r w:rsidR="00FD7F57">
        <w:t>у</w:t>
      </w:r>
      <w:r w:rsidRPr="00917B33">
        <w:t xml:space="preserve"> субъектов частного предпринимательства, осуществляющих </w:t>
      </w:r>
      <w:r w:rsidRPr="00791956">
        <w:t>деятельность в обрабатывающей и агропромышленной отраслях.</w:t>
      </w:r>
      <w:r w:rsidR="00FD7F57" w:rsidRPr="00791956">
        <w:t xml:space="preserve"> </w:t>
      </w:r>
      <w:r w:rsidR="00FD7F57" w:rsidRPr="008A681C">
        <w:t>Основны</w:t>
      </w:r>
      <w:r w:rsidR="00C90D60">
        <w:t>е</w:t>
      </w:r>
      <w:r w:rsidR="00FD7F57" w:rsidRPr="00791956">
        <w:t xml:space="preserve"> </w:t>
      </w:r>
      <w:r w:rsidR="003B7F2E" w:rsidRPr="002C051A">
        <w:t>мер</w:t>
      </w:r>
      <w:r w:rsidR="00C90D60">
        <w:t>ы</w:t>
      </w:r>
      <w:r w:rsidR="003B7F2E" w:rsidRPr="002C051A">
        <w:t xml:space="preserve"> государственной поддержки, оказываемые</w:t>
      </w:r>
      <w:r w:rsidR="00FD7F57" w:rsidRPr="00791956">
        <w:t xml:space="preserve"> в рамках</w:t>
      </w:r>
      <w:r w:rsidR="00FD7F57">
        <w:t xml:space="preserve"> </w:t>
      </w:r>
      <w:r w:rsidR="003B7F2E">
        <w:t>Механизма</w:t>
      </w:r>
      <w:r w:rsidR="00C90D60">
        <w:t>,</w:t>
      </w:r>
      <w:r w:rsidR="003B7F2E">
        <w:t xml:space="preserve"> </w:t>
      </w:r>
      <w:r w:rsidR="00C90D60">
        <w:t xml:space="preserve">также </w:t>
      </w:r>
      <w:r w:rsidR="003B7F2E">
        <w:t>являются инструменты субсидирования и гарантирования.</w:t>
      </w:r>
      <w:r w:rsidR="00D629F4">
        <w:t xml:space="preserve"> Постановлением Правительства Республики Казахстан </w:t>
      </w:r>
      <w:r w:rsidR="00416CE5">
        <w:t>3</w:t>
      </w:r>
      <w:r w:rsidR="00D629F4">
        <w:t>1 декабря 20</w:t>
      </w:r>
      <w:r w:rsidR="00416CE5">
        <w:t>21</w:t>
      </w:r>
      <w:r w:rsidR="00D629F4">
        <w:t xml:space="preserve"> года №</w:t>
      </w:r>
      <w:r w:rsidR="00416CE5">
        <w:t xml:space="preserve">979, </w:t>
      </w:r>
      <w:r w:rsidR="00D26938">
        <w:t>Механизм продлен до конца 2022 года.</w:t>
      </w:r>
      <w:r w:rsidR="00416CE5">
        <w:t xml:space="preserve"> </w:t>
      </w:r>
    </w:p>
    <w:p w14:paraId="288D057D" w14:textId="51075A02" w:rsidR="00C90D60" w:rsidRDefault="00C90D60">
      <w:pPr>
        <w:ind w:firstLine="426"/>
        <w:jc w:val="both"/>
        <w:rPr>
          <w:highlight w:val="yellow"/>
        </w:rPr>
      </w:pPr>
    </w:p>
    <w:p w14:paraId="2214EE99" w14:textId="7D704EFA" w:rsidR="00C90D60" w:rsidRPr="002C051A" w:rsidRDefault="00F315C1" w:rsidP="008A681C">
      <w:pPr>
        <w:ind w:firstLine="426"/>
        <w:jc w:val="both"/>
        <w:rPr>
          <w:i/>
          <w:highlight w:val="yellow"/>
        </w:rPr>
      </w:pPr>
      <w:r w:rsidRPr="002C051A">
        <w:rPr>
          <w:i/>
        </w:rPr>
        <w:t>Национальный фонд Республики Казахстан</w:t>
      </w:r>
    </w:p>
    <w:p w14:paraId="38218457" w14:textId="12287DFE" w:rsidR="00014C1A" w:rsidRDefault="00003B0B">
      <w:pPr>
        <w:ind w:firstLine="426"/>
        <w:jc w:val="both"/>
      </w:pPr>
      <w:r>
        <w:t xml:space="preserve">Наряду с этим, </w:t>
      </w:r>
      <w:r w:rsidR="002D2864" w:rsidRPr="002D2864">
        <w:t>на основании п</w:t>
      </w:r>
      <w:r w:rsidR="002D2864" w:rsidRPr="002D2864">
        <w:rPr>
          <w:sz w:val="22"/>
          <w:szCs w:val="22"/>
        </w:rPr>
        <w:t>остановлений Правительства Республики Казахстан от 14 апреля 2014 года № 354, от 5 декабря 2014 года № 1276, от 11 марта 2015 года № 124</w:t>
      </w:r>
      <w:r w:rsidR="002D2864">
        <w:rPr>
          <w:sz w:val="22"/>
          <w:szCs w:val="22"/>
        </w:rPr>
        <w:t xml:space="preserve"> </w:t>
      </w:r>
      <w:r>
        <w:t xml:space="preserve">в целях поддержки отечественных малых и средних предприятий в обрабатывающей промышленности в 2014-2015 годах из средств Национального фонда Республики Казахстан (далее - НФ РК) </w:t>
      </w:r>
      <w:r w:rsidR="00DF6C47">
        <w:t xml:space="preserve">Фонду </w:t>
      </w:r>
      <w:r>
        <w:t xml:space="preserve">было выделено 200 </w:t>
      </w:r>
      <w:r w:rsidR="00B646B3">
        <w:t>млрд</w:t>
      </w:r>
      <w:r>
        <w:t xml:space="preserve"> тенге.</w:t>
      </w:r>
    </w:p>
    <w:p w14:paraId="78DED5B8" w14:textId="7BCCF92B" w:rsidR="00014C1A" w:rsidRDefault="00003B0B">
      <w:pPr>
        <w:ind w:firstLine="426"/>
        <w:jc w:val="both"/>
      </w:pPr>
      <w:r>
        <w:t xml:space="preserve">Условия для конечных заемщиков являются наиболее благоприятными. Сумма займа до 1 850 </w:t>
      </w:r>
      <w:r w:rsidR="00B646B3">
        <w:t>млн</w:t>
      </w:r>
      <w:r>
        <w:t xml:space="preserve"> тенге, срок до 10 лет, ставка вознаграждения не более 6% годовых.</w:t>
      </w:r>
    </w:p>
    <w:p w14:paraId="17B9E510" w14:textId="53DC499C" w:rsidR="00014C1A" w:rsidRPr="00EC6B6B" w:rsidRDefault="00003B0B">
      <w:pPr>
        <w:ind w:firstLine="426"/>
        <w:jc w:val="both"/>
        <w:rPr>
          <w:color w:val="auto"/>
        </w:rPr>
      </w:pPr>
      <w:r>
        <w:t xml:space="preserve">В рамках данной программы </w:t>
      </w:r>
      <w:r w:rsidRPr="00EC6B6B">
        <w:rPr>
          <w:color w:val="auto"/>
        </w:rPr>
        <w:t xml:space="preserve">профинансирован на 1 </w:t>
      </w:r>
      <w:r w:rsidR="00067A6A" w:rsidRPr="00EC6B6B">
        <w:rPr>
          <w:bCs/>
          <w:color w:val="auto"/>
        </w:rPr>
        <w:t>января</w:t>
      </w:r>
      <w:r w:rsidR="00067A6A" w:rsidRPr="00EC6B6B" w:rsidDel="00067A6A">
        <w:rPr>
          <w:color w:val="auto"/>
        </w:rPr>
        <w:t xml:space="preserve"> </w:t>
      </w:r>
      <w:r w:rsidRPr="00EC6B6B">
        <w:rPr>
          <w:color w:val="auto"/>
        </w:rPr>
        <w:t xml:space="preserve"> </w:t>
      </w:r>
      <w:r w:rsidR="00067A6A" w:rsidRPr="00EC6B6B">
        <w:rPr>
          <w:color w:val="auto"/>
        </w:rPr>
        <w:t xml:space="preserve">2021 </w:t>
      </w:r>
      <w:r w:rsidRPr="00EC6B6B">
        <w:rPr>
          <w:color w:val="auto"/>
        </w:rPr>
        <w:t xml:space="preserve">года </w:t>
      </w:r>
      <w:r w:rsidR="00067A6A" w:rsidRPr="00EC6B6B">
        <w:rPr>
          <w:color w:val="auto"/>
        </w:rPr>
        <w:t>2 665 заемщиков</w:t>
      </w:r>
      <w:r w:rsidRPr="00EC6B6B">
        <w:rPr>
          <w:color w:val="auto"/>
        </w:rPr>
        <w:t xml:space="preserve"> на сумму </w:t>
      </w:r>
      <w:r w:rsidR="00067A6A" w:rsidRPr="00EC6B6B">
        <w:rPr>
          <w:color w:val="auto"/>
        </w:rPr>
        <w:t xml:space="preserve">713,5 </w:t>
      </w:r>
      <w:r w:rsidR="00B646B3">
        <w:rPr>
          <w:color w:val="auto"/>
        </w:rPr>
        <w:t>млрд</w:t>
      </w:r>
      <w:r w:rsidRPr="00EC6B6B">
        <w:rPr>
          <w:color w:val="auto"/>
        </w:rPr>
        <w:t xml:space="preserve"> тенге. В том числе:</w:t>
      </w:r>
    </w:p>
    <w:p w14:paraId="51955BF8" w14:textId="4CE1A6AB" w:rsidR="00014C1A" w:rsidRPr="00EC6B6B" w:rsidRDefault="00003B0B">
      <w:pPr>
        <w:ind w:firstLine="426"/>
        <w:jc w:val="both"/>
        <w:rPr>
          <w:color w:val="auto"/>
        </w:rPr>
      </w:pPr>
      <w:r w:rsidRPr="00EC6B6B">
        <w:rPr>
          <w:color w:val="auto"/>
        </w:rPr>
        <w:t xml:space="preserve">по 1-траншу профинансировано </w:t>
      </w:r>
      <w:r w:rsidR="00067A6A" w:rsidRPr="00EC6B6B">
        <w:rPr>
          <w:color w:val="auto"/>
        </w:rPr>
        <w:t xml:space="preserve">1 132 заемщика </w:t>
      </w:r>
      <w:r w:rsidRPr="00EC6B6B">
        <w:rPr>
          <w:color w:val="auto"/>
        </w:rPr>
        <w:t xml:space="preserve">на сумму </w:t>
      </w:r>
      <w:r w:rsidR="00067A6A" w:rsidRPr="00EC6B6B">
        <w:rPr>
          <w:color w:val="auto"/>
        </w:rPr>
        <w:t xml:space="preserve">231,7 </w:t>
      </w:r>
      <w:r w:rsidR="00B646B3">
        <w:rPr>
          <w:color w:val="auto"/>
        </w:rPr>
        <w:t>млрд</w:t>
      </w:r>
      <w:r w:rsidRPr="00EC6B6B">
        <w:rPr>
          <w:color w:val="auto"/>
        </w:rPr>
        <w:t xml:space="preserve"> тенге,</w:t>
      </w:r>
    </w:p>
    <w:p w14:paraId="69F62C08" w14:textId="7F7B9BC6" w:rsidR="00014C1A" w:rsidRPr="00EC6B6B" w:rsidRDefault="00003B0B">
      <w:pPr>
        <w:ind w:firstLine="426"/>
        <w:jc w:val="both"/>
        <w:rPr>
          <w:color w:val="auto"/>
        </w:rPr>
      </w:pPr>
      <w:r w:rsidRPr="00EC6B6B">
        <w:rPr>
          <w:color w:val="auto"/>
        </w:rPr>
        <w:lastRenderedPageBreak/>
        <w:t xml:space="preserve">по 2-траншу профинансировано </w:t>
      </w:r>
      <w:r w:rsidR="00067A6A" w:rsidRPr="00EC6B6B">
        <w:rPr>
          <w:color w:val="auto"/>
        </w:rPr>
        <w:t xml:space="preserve">734 заемщика </w:t>
      </w:r>
      <w:r w:rsidRPr="00EC6B6B">
        <w:rPr>
          <w:color w:val="auto"/>
        </w:rPr>
        <w:t xml:space="preserve">на сумму </w:t>
      </w:r>
      <w:r w:rsidR="00067A6A" w:rsidRPr="00EC6B6B">
        <w:rPr>
          <w:color w:val="auto"/>
        </w:rPr>
        <w:t xml:space="preserve">242,9 </w:t>
      </w:r>
      <w:r w:rsidR="00B646B3">
        <w:rPr>
          <w:color w:val="auto"/>
        </w:rPr>
        <w:t>млрд</w:t>
      </w:r>
      <w:r w:rsidRPr="00EC6B6B">
        <w:rPr>
          <w:color w:val="auto"/>
        </w:rPr>
        <w:t xml:space="preserve"> тенге,</w:t>
      </w:r>
    </w:p>
    <w:p w14:paraId="2404212D" w14:textId="4CBBA2ED" w:rsidR="00014C1A" w:rsidRPr="00EC6B6B" w:rsidRDefault="00003B0B">
      <w:pPr>
        <w:ind w:firstLine="426"/>
        <w:jc w:val="both"/>
        <w:rPr>
          <w:color w:val="auto"/>
        </w:rPr>
      </w:pPr>
      <w:r w:rsidRPr="00EC6B6B">
        <w:rPr>
          <w:color w:val="auto"/>
        </w:rPr>
        <w:t xml:space="preserve">по 3-траншу профинансировано </w:t>
      </w:r>
      <w:r w:rsidR="00067A6A" w:rsidRPr="00EC6B6B">
        <w:rPr>
          <w:color w:val="auto"/>
        </w:rPr>
        <w:t xml:space="preserve">799 заемщиков </w:t>
      </w:r>
      <w:r w:rsidRPr="00EC6B6B">
        <w:rPr>
          <w:color w:val="auto"/>
        </w:rPr>
        <w:t xml:space="preserve">на сумму </w:t>
      </w:r>
      <w:r w:rsidR="00067A6A" w:rsidRPr="00EC6B6B">
        <w:rPr>
          <w:color w:val="auto"/>
        </w:rPr>
        <w:t xml:space="preserve">238,9 </w:t>
      </w:r>
      <w:r w:rsidR="00B646B3">
        <w:rPr>
          <w:color w:val="auto"/>
        </w:rPr>
        <w:t>млрд</w:t>
      </w:r>
      <w:r w:rsidRPr="00EC6B6B">
        <w:rPr>
          <w:color w:val="auto"/>
        </w:rPr>
        <w:t xml:space="preserve"> тенге.</w:t>
      </w:r>
    </w:p>
    <w:p w14:paraId="4D796EE6" w14:textId="23F08363" w:rsidR="00014C1A" w:rsidRPr="00EC6B6B" w:rsidRDefault="00003B0B">
      <w:pPr>
        <w:ind w:firstLine="426"/>
        <w:jc w:val="both"/>
        <w:rPr>
          <w:color w:val="auto"/>
        </w:rPr>
      </w:pPr>
      <w:r w:rsidRPr="00EC6B6B">
        <w:rPr>
          <w:color w:val="auto"/>
        </w:rPr>
        <w:t>В целом, в рамках программы финансирования ММСП обрабатывающей промышленности за счет средств НФ РК за 2014-</w:t>
      </w:r>
      <w:r w:rsidR="00626580" w:rsidRPr="00EC6B6B">
        <w:rPr>
          <w:color w:val="auto"/>
        </w:rPr>
        <w:t xml:space="preserve">2020 </w:t>
      </w:r>
      <w:r w:rsidRPr="00EC6B6B">
        <w:rPr>
          <w:color w:val="auto"/>
        </w:rPr>
        <w:t xml:space="preserve">годы выплачено налогов на сумму </w:t>
      </w:r>
      <w:r w:rsidR="00626580" w:rsidRPr="00EC6B6B">
        <w:rPr>
          <w:color w:val="auto"/>
        </w:rPr>
        <w:t xml:space="preserve">477,0 </w:t>
      </w:r>
      <w:r w:rsidR="00B646B3">
        <w:rPr>
          <w:color w:val="auto"/>
        </w:rPr>
        <w:t>млрд</w:t>
      </w:r>
      <w:r w:rsidRPr="00EC6B6B">
        <w:rPr>
          <w:color w:val="auto"/>
        </w:rPr>
        <w:t xml:space="preserve"> тенге, в том числе за </w:t>
      </w:r>
      <w:r w:rsidR="00626580" w:rsidRPr="00EC6B6B">
        <w:rPr>
          <w:color w:val="auto"/>
        </w:rPr>
        <w:t xml:space="preserve">2020 </w:t>
      </w:r>
      <w:r w:rsidRPr="00EC6B6B">
        <w:rPr>
          <w:color w:val="auto"/>
        </w:rPr>
        <w:t xml:space="preserve">год - </w:t>
      </w:r>
      <w:r w:rsidR="00626580" w:rsidRPr="00EC6B6B">
        <w:rPr>
          <w:color w:val="auto"/>
        </w:rPr>
        <w:t xml:space="preserve">132,7 </w:t>
      </w:r>
      <w:r w:rsidR="00B646B3">
        <w:rPr>
          <w:color w:val="auto"/>
        </w:rPr>
        <w:t>млрд</w:t>
      </w:r>
      <w:r w:rsidRPr="00EC6B6B">
        <w:rPr>
          <w:color w:val="auto"/>
        </w:rPr>
        <w:t xml:space="preserve"> тенге; обеспечен выпуск продукции на сумму более </w:t>
      </w:r>
      <w:r w:rsidR="00626580" w:rsidRPr="00EC6B6B">
        <w:rPr>
          <w:color w:val="auto"/>
        </w:rPr>
        <w:t xml:space="preserve">7 318,1 </w:t>
      </w:r>
      <w:r w:rsidR="00B646B3">
        <w:rPr>
          <w:color w:val="auto"/>
        </w:rPr>
        <w:t>млрд</w:t>
      </w:r>
      <w:r w:rsidRPr="00EC6B6B">
        <w:rPr>
          <w:color w:val="auto"/>
        </w:rPr>
        <w:t xml:space="preserve"> тенге, в том числе за </w:t>
      </w:r>
      <w:r w:rsidR="00626580" w:rsidRPr="00EC6B6B">
        <w:rPr>
          <w:color w:val="auto"/>
        </w:rPr>
        <w:t xml:space="preserve">2020 </w:t>
      </w:r>
      <w:r w:rsidRPr="00EC6B6B">
        <w:rPr>
          <w:color w:val="auto"/>
        </w:rPr>
        <w:t xml:space="preserve">год - </w:t>
      </w:r>
      <w:r w:rsidR="00626580" w:rsidRPr="00EC6B6B">
        <w:rPr>
          <w:color w:val="auto"/>
        </w:rPr>
        <w:t xml:space="preserve">1 964,0 </w:t>
      </w:r>
      <w:r w:rsidR="00B646B3">
        <w:rPr>
          <w:color w:val="auto"/>
        </w:rPr>
        <w:t>млрд</w:t>
      </w:r>
      <w:r w:rsidRPr="00EC6B6B">
        <w:rPr>
          <w:color w:val="auto"/>
        </w:rPr>
        <w:t xml:space="preserve"> тенге; создано 1</w:t>
      </w:r>
      <w:r w:rsidR="00626580" w:rsidRPr="00EC6B6B">
        <w:rPr>
          <w:color w:val="auto"/>
        </w:rPr>
        <w:t>9</w:t>
      </w:r>
      <w:r w:rsidRPr="00EC6B6B">
        <w:rPr>
          <w:color w:val="auto"/>
        </w:rPr>
        <w:t xml:space="preserve">,1 тыс. рабочих мест, в том числе в </w:t>
      </w:r>
      <w:r w:rsidR="00626580" w:rsidRPr="00EC6B6B">
        <w:rPr>
          <w:color w:val="auto"/>
        </w:rPr>
        <w:t xml:space="preserve">2020 </w:t>
      </w:r>
      <w:r w:rsidRPr="00EC6B6B">
        <w:rPr>
          <w:color w:val="auto"/>
        </w:rPr>
        <w:t xml:space="preserve">году - </w:t>
      </w:r>
      <w:r w:rsidR="00626580" w:rsidRPr="00EC6B6B">
        <w:rPr>
          <w:color w:val="auto"/>
        </w:rPr>
        <w:t xml:space="preserve">1 021 </w:t>
      </w:r>
      <w:r w:rsidRPr="00EC6B6B">
        <w:rPr>
          <w:color w:val="auto"/>
        </w:rPr>
        <w:t>рабочих мест.</w:t>
      </w:r>
    </w:p>
    <w:p w14:paraId="6156A5A3" w14:textId="28CCF871" w:rsidR="00C90D60" w:rsidRDefault="00C90D60" w:rsidP="00626580">
      <w:pPr>
        <w:ind w:firstLine="567"/>
        <w:contextualSpacing/>
        <w:jc w:val="both"/>
        <w:rPr>
          <w:color w:val="auto"/>
        </w:rPr>
      </w:pPr>
    </w:p>
    <w:p w14:paraId="5A63CCE2" w14:textId="55E868B5" w:rsidR="00F315C1" w:rsidRPr="006249CA" w:rsidRDefault="00F315C1" w:rsidP="00626580">
      <w:pPr>
        <w:ind w:firstLine="567"/>
        <w:contextualSpacing/>
        <w:jc w:val="both"/>
        <w:rPr>
          <w:i/>
          <w:color w:val="auto"/>
        </w:rPr>
      </w:pPr>
      <w:r w:rsidRPr="006249CA">
        <w:rPr>
          <w:i/>
          <w:color w:val="auto"/>
        </w:rPr>
        <w:t>Государственная программа «Еңбек»</w:t>
      </w:r>
    </w:p>
    <w:p w14:paraId="46A04632" w14:textId="6ED9B28B" w:rsidR="00626580" w:rsidRPr="00EC6B6B" w:rsidRDefault="00584B5B" w:rsidP="00626580">
      <w:pPr>
        <w:ind w:firstLine="567"/>
        <w:contextualSpacing/>
        <w:jc w:val="both"/>
        <w:rPr>
          <w:color w:val="auto"/>
        </w:rPr>
      </w:pPr>
      <w:r>
        <w:rPr>
          <w:color w:val="auto"/>
        </w:rPr>
        <w:t>В рамках</w:t>
      </w:r>
      <w:r w:rsidR="00626580" w:rsidRPr="00EC6B6B">
        <w:rPr>
          <w:color w:val="auto"/>
        </w:rPr>
        <w:t xml:space="preserve"> Государственной программ</w:t>
      </w:r>
      <w:r>
        <w:rPr>
          <w:color w:val="auto"/>
        </w:rPr>
        <w:t>ы</w:t>
      </w:r>
      <w:r w:rsidR="00626580" w:rsidRPr="00EC6B6B">
        <w:rPr>
          <w:color w:val="auto"/>
        </w:rPr>
        <w:t xml:space="preserve"> развития продуктивной занятости и массового предпринимательства на 2017 – 2021 годы «Еңбек»</w:t>
      </w:r>
      <w:r w:rsidR="00DF6C47">
        <w:rPr>
          <w:color w:val="auto"/>
        </w:rPr>
        <w:t xml:space="preserve">, </w:t>
      </w:r>
      <w:r w:rsidR="00DF6C47" w:rsidRPr="00DF6C47">
        <w:rPr>
          <w:color w:val="auto"/>
        </w:rPr>
        <w:t>утвержденной постановлением Правительства Республики Казахстан от 29.12.2016 г. №919,</w:t>
      </w:r>
      <w:r w:rsidR="00626580" w:rsidRPr="00EC6B6B">
        <w:rPr>
          <w:color w:val="auto"/>
        </w:rPr>
        <w:t xml:space="preserve"> Фонд явля</w:t>
      </w:r>
      <w:r>
        <w:rPr>
          <w:color w:val="auto"/>
        </w:rPr>
        <w:t>л</w:t>
      </w:r>
      <w:r w:rsidR="00626580" w:rsidRPr="00EC6B6B">
        <w:rPr>
          <w:color w:val="auto"/>
        </w:rPr>
        <w:t>ся оператором в городах, моногородах / сельских населенных пунктах и малых городах. Данной программой предусм</w:t>
      </w:r>
      <w:r>
        <w:rPr>
          <w:color w:val="auto"/>
        </w:rPr>
        <w:t>атривались</w:t>
      </w:r>
      <w:r w:rsidR="00626580" w:rsidRPr="00EC6B6B">
        <w:rPr>
          <w:color w:val="auto"/>
        </w:rPr>
        <w:t xml:space="preserve"> 2 инструмента – кредитование через БВУ и инструмент гарантирование по кредитам БВУ/МФО/ЛК/КТ. Отличие от Программы «ДКБ</w:t>
      </w:r>
      <w:r w:rsidR="001C1E49">
        <w:rPr>
          <w:color w:val="auto"/>
        </w:rPr>
        <w:t>-</w:t>
      </w:r>
      <w:r w:rsidR="00626580" w:rsidRPr="00EC6B6B">
        <w:rPr>
          <w:color w:val="auto"/>
        </w:rPr>
        <w:t>2025» заключа</w:t>
      </w:r>
      <w:r w:rsidR="00E02F2F">
        <w:rPr>
          <w:color w:val="auto"/>
        </w:rPr>
        <w:t>лось</w:t>
      </w:r>
      <w:r w:rsidR="00626580" w:rsidRPr="00EC6B6B">
        <w:rPr>
          <w:color w:val="auto"/>
        </w:rPr>
        <w:t xml:space="preserve"> в том, что программа не име</w:t>
      </w:r>
      <w:r w:rsidR="00E02F2F">
        <w:rPr>
          <w:color w:val="auto"/>
        </w:rPr>
        <w:t>ла</w:t>
      </w:r>
      <w:r w:rsidR="00626580" w:rsidRPr="00EC6B6B">
        <w:rPr>
          <w:color w:val="auto"/>
        </w:rPr>
        <w:t xml:space="preserve"> отраслевых ограничений, лимит по сумме кредитов </w:t>
      </w:r>
      <w:r w:rsidR="00E02F2F">
        <w:rPr>
          <w:color w:val="auto"/>
        </w:rPr>
        <w:t xml:space="preserve">составлял </w:t>
      </w:r>
      <w:r w:rsidR="00626580" w:rsidRPr="00EC6B6B">
        <w:rPr>
          <w:color w:val="auto"/>
        </w:rPr>
        <w:t xml:space="preserve">до 8000 МРП в сельских населенных пунктах и малых городах, Нур-Султане, Алматы, Актау, Атырау, Шымкент до 6500 МРП других регионах. </w:t>
      </w:r>
    </w:p>
    <w:p w14:paraId="0DB1C170" w14:textId="77777777" w:rsidR="00626580" w:rsidRPr="00EC6B6B" w:rsidRDefault="00626580" w:rsidP="00626580">
      <w:pPr>
        <w:ind w:firstLine="567"/>
        <w:contextualSpacing/>
        <w:jc w:val="both"/>
        <w:rPr>
          <w:color w:val="auto"/>
        </w:rPr>
      </w:pPr>
      <w:r w:rsidRPr="00EC6B6B">
        <w:rPr>
          <w:color w:val="auto"/>
        </w:rPr>
        <w:t>По состоянию на 01.01.2021 г. в рамках инструмента кредитования через БВУ/МФО было поддержано 4 240 заемщиков на сумму кредитов 56,4 млрд тенге.</w:t>
      </w:r>
    </w:p>
    <w:p w14:paraId="77568DEC" w14:textId="51B613D8" w:rsidR="00626580" w:rsidRPr="00EC6B6B" w:rsidRDefault="00626580" w:rsidP="00626580">
      <w:pPr>
        <w:ind w:firstLine="567"/>
        <w:contextualSpacing/>
        <w:jc w:val="both"/>
        <w:rPr>
          <w:color w:val="auto"/>
        </w:rPr>
      </w:pPr>
      <w:r w:rsidRPr="00EC6B6B">
        <w:rPr>
          <w:color w:val="auto"/>
        </w:rPr>
        <w:t>В рамках программы «Еңбек» по инструменту гарантирование кредитов предприниматели мог</w:t>
      </w:r>
      <w:r w:rsidR="00E02F2F">
        <w:rPr>
          <w:color w:val="auto"/>
        </w:rPr>
        <w:t>ли</w:t>
      </w:r>
      <w:r w:rsidRPr="00EC6B6B">
        <w:rPr>
          <w:color w:val="auto"/>
        </w:rPr>
        <w:t xml:space="preserve"> получить гаранти</w:t>
      </w:r>
      <w:r w:rsidR="00E02F2F">
        <w:rPr>
          <w:color w:val="auto"/>
        </w:rPr>
        <w:t>ю</w:t>
      </w:r>
      <w:r w:rsidRPr="00EC6B6B">
        <w:rPr>
          <w:color w:val="auto"/>
        </w:rPr>
        <w:t xml:space="preserve"> до 85% для начинающих предпринимателей и до 50% для действующих предпринимателей. Возможн</w:t>
      </w:r>
      <w:r w:rsidR="00E02F2F">
        <w:rPr>
          <w:color w:val="auto"/>
        </w:rPr>
        <w:t>ым</w:t>
      </w:r>
      <w:r w:rsidRPr="00EC6B6B">
        <w:rPr>
          <w:color w:val="auto"/>
        </w:rPr>
        <w:t xml:space="preserve"> </w:t>
      </w:r>
      <w:r w:rsidR="00E02F2F">
        <w:rPr>
          <w:color w:val="auto"/>
        </w:rPr>
        <w:t xml:space="preserve">было </w:t>
      </w:r>
      <w:r w:rsidRPr="00EC6B6B">
        <w:rPr>
          <w:color w:val="auto"/>
        </w:rPr>
        <w:t xml:space="preserve">предоставление гарантии для малообеспеченных и многодетных </w:t>
      </w:r>
      <w:r w:rsidR="00E02F2F">
        <w:rPr>
          <w:color w:val="auto"/>
        </w:rPr>
        <w:t>предпринимателей с максимальным размером гарантии</w:t>
      </w:r>
      <w:r w:rsidRPr="00EC6B6B">
        <w:rPr>
          <w:color w:val="auto"/>
        </w:rPr>
        <w:t xml:space="preserve"> до 95% от суммы кредита.</w:t>
      </w:r>
    </w:p>
    <w:p w14:paraId="4E8F8554" w14:textId="459F2755" w:rsidR="00626580" w:rsidRDefault="00626580" w:rsidP="00626580">
      <w:pPr>
        <w:ind w:firstLine="426"/>
        <w:jc w:val="both"/>
        <w:rPr>
          <w:color w:val="auto"/>
        </w:rPr>
      </w:pPr>
      <w:r w:rsidRPr="00EC6B6B">
        <w:rPr>
          <w:color w:val="auto"/>
        </w:rPr>
        <w:t>На 01.01.2021 года по Республике в рамках программы «Еңбек» предоставлены гарантии 1 640 проектам на сумму кредитов 19,2 млрд тенге, сумма гарантий составила 9,1 млрд тенге.</w:t>
      </w:r>
      <w:r w:rsidR="008D2675">
        <w:rPr>
          <w:color w:val="auto"/>
        </w:rPr>
        <w:t xml:space="preserve"> </w:t>
      </w:r>
    </w:p>
    <w:p w14:paraId="1572691E" w14:textId="2703CAA3" w:rsidR="009533C0" w:rsidRDefault="008D2675" w:rsidP="00626580">
      <w:pPr>
        <w:ind w:firstLine="426"/>
        <w:jc w:val="both"/>
        <w:rPr>
          <w:color w:val="auto"/>
        </w:rPr>
      </w:pPr>
      <w:r w:rsidRPr="009C262D">
        <w:rPr>
          <w:color w:val="auto"/>
        </w:rPr>
        <w:t xml:space="preserve">31.12.2021 года </w:t>
      </w:r>
      <w:r w:rsidR="009533C0" w:rsidRPr="008D2675">
        <w:rPr>
          <w:color w:val="auto"/>
        </w:rPr>
        <w:t xml:space="preserve">Программа </w:t>
      </w:r>
      <w:r w:rsidRPr="008D2675">
        <w:rPr>
          <w:color w:val="auto"/>
        </w:rPr>
        <w:t>«Еңбек» завершила свое действие.</w:t>
      </w:r>
    </w:p>
    <w:p w14:paraId="31C957AE" w14:textId="412A72AC" w:rsidR="00584B5B" w:rsidRDefault="00584B5B" w:rsidP="00584B5B">
      <w:pPr>
        <w:ind w:firstLine="426"/>
        <w:jc w:val="both"/>
      </w:pPr>
    </w:p>
    <w:p w14:paraId="147E01A2" w14:textId="4BD1BC1C" w:rsidR="00F315C1" w:rsidRPr="006249CA" w:rsidRDefault="00F315C1" w:rsidP="00584B5B">
      <w:pPr>
        <w:ind w:firstLine="426"/>
        <w:jc w:val="both"/>
        <w:rPr>
          <w:i/>
        </w:rPr>
      </w:pPr>
      <w:r w:rsidRPr="006249CA">
        <w:rPr>
          <w:i/>
        </w:rPr>
        <w:t>Программа регионального финансирования</w:t>
      </w:r>
    </w:p>
    <w:p w14:paraId="0DFA601D" w14:textId="782BACE2" w:rsidR="00C90D60" w:rsidRPr="007331F9" w:rsidRDefault="00F315C1" w:rsidP="001D4875">
      <w:pPr>
        <w:ind w:firstLine="426"/>
        <w:jc w:val="both"/>
      </w:pPr>
      <w:r>
        <w:t>С</w:t>
      </w:r>
      <w:r w:rsidR="00584B5B">
        <w:t xml:space="preserve"> 2010 года</w:t>
      </w:r>
      <w:r>
        <w:t xml:space="preserve"> </w:t>
      </w:r>
      <w:r>
        <w:rPr>
          <w:color w:val="auto"/>
        </w:rPr>
        <w:t>Фонд «Даму»</w:t>
      </w:r>
      <w:r w:rsidR="00584B5B">
        <w:t xml:space="preserve"> реализует Программу регионального финансирования субъектов малого </w:t>
      </w:r>
      <w:r w:rsidR="002953EB">
        <w:t xml:space="preserve">частного </w:t>
      </w:r>
      <w:r w:rsidR="00584B5B">
        <w:t>и среднего</w:t>
      </w:r>
      <w:r w:rsidR="002953EB">
        <w:t xml:space="preserve"> частного</w:t>
      </w:r>
      <w:r w:rsidR="00584B5B">
        <w:t xml:space="preserve"> предпринимательства, направленную на повышение эффективности реализации региональных программ поддержки и развития ММСП, путем финансирования проектов ММСП в приоритетных для конкретного региона отраслях.</w:t>
      </w:r>
      <w:r>
        <w:t xml:space="preserve"> </w:t>
      </w:r>
      <w:r w:rsidR="00584B5B">
        <w:t xml:space="preserve">Программа реализуется за счет средств МИО, а также собственных и привлеченных средств Фонда на условиях софинансирования, которые размещаются в банках второго уровня </w:t>
      </w:r>
      <w:r w:rsidR="007331F9" w:rsidRPr="007331F9">
        <w:t>и микрофинансовых организациях</w:t>
      </w:r>
      <w:r w:rsidR="007331F9">
        <w:t xml:space="preserve"> </w:t>
      </w:r>
      <w:r w:rsidR="00584B5B">
        <w:t>для последующего финансирования проектов ММСП.</w:t>
      </w:r>
      <w:r w:rsidR="001D4875">
        <w:t xml:space="preserve"> </w:t>
      </w:r>
      <w:r w:rsidR="001D4875" w:rsidRPr="001D4875">
        <w:t xml:space="preserve">Программа ориентирована </w:t>
      </w:r>
      <w:r w:rsidR="001D4875" w:rsidRPr="001D4875">
        <w:rPr>
          <w:rFonts w:eastAsia="Times New Roman"/>
        </w:rPr>
        <w:t>на поддержку субъектов малого и среднего предпринимательства в регионах, малых городах, моногородах, увеличению доступности к льготным кредитным ресурсам, способствует развитию и расширению местного предпринимательства и призвана усилить конкурентоспособность регионов.</w:t>
      </w:r>
      <w:r w:rsidR="00D54992">
        <w:rPr>
          <w:rFonts w:eastAsia="Times New Roman"/>
        </w:rPr>
        <w:t xml:space="preserve"> </w:t>
      </w:r>
      <w:r w:rsidR="001D4875" w:rsidRPr="001D4875">
        <w:rPr>
          <w:rFonts w:eastAsia="Times New Roman"/>
        </w:rPr>
        <w:t xml:space="preserve">На 01.01.2021 года </w:t>
      </w:r>
      <w:r w:rsidR="001D4875" w:rsidRPr="001D4875">
        <w:rPr>
          <w:color w:val="auto"/>
        </w:rPr>
        <w:t>в рамках программы было поддержано 1 785 заемщиков на сумму кредитов 99,9 млрд тенге.</w:t>
      </w:r>
    </w:p>
    <w:p w14:paraId="0D3253C1" w14:textId="77777777" w:rsidR="00584B5B" w:rsidRPr="00EC6B6B" w:rsidRDefault="00584B5B" w:rsidP="00626580">
      <w:pPr>
        <w:ind w:firstLine="426"/>
        <w:jc w:val="both"/>
        <w:rPr>
          <w:color w:val="auto"/>
        </w:rPr>
      </w:pPr>
    </w:p>
    <w:p w14:paraId="72FAC540" w14:textId="77777777" w:rsidR="00014C1A" w:rsidRPr="00EC6B6B" w:rsidRDefault="00003B0B">
      <w:pPr>
        <w:ind w:firstLine="426"/>
        <w:jc w:val="both"/>
        <w:rPr>
          <w:color w:val="auto"/>
        </w:rPr>
      </w:pPr>
      <w:bookmarkStart w:id="9" w:name="SUB10400"/>
      <w:bookmarkEnd w:id="9"/>
      <w:r w:rsidRPr="00EC6B6B">
        <w:rPr>
          <w:b/>
          <w:bCs/>
          <w:color w:val="auto"/>
        </w:rPr>
        <w:t>1.4. Анализ внутренней среды</w:t>
      </w:r>
    </w:p>
    <w:p w14:paraId="196E0B02" w14:textId="77777777" w:rsidR="00014C1A" w:rsidRPr="00EC6B6B" w:rsidRDefault="00003B0B">
      <w:pPr>
        <w:ind w:firstLine="426"/>
        <w:jc w:val="both"/>
        <w:rPr>
          <w:color w:val="auto"/>
        </w:rPr>
      </w:pPr>
      <w:bookmarkStart w:id="10" w:name="SUB1040100"/>
      <w:bookmarkEnd w:id="10"/>
      <w:r w:rsidRPr="00EC6B6B">
        <w:rPr>
          <w:b/>
          <w:bCs/>
          <w:color w:val="auto"/>
        </w:rPr>
        <w:t>1.4.1. Результаты основных направлений деятельности</w:t>
      </w:r>
    </w:p>
    <w:p w14:paraId="2DA90ECA" w14:textId="4B201C28" w:rsidR="00014C1A" w:rsidRPr="00EC6B6B" w:rsidRDefault="00003B0B">
      <w:pPr>
        <w:ind w:firstLine="426"/>
        <w:jc w:val="both"/>
        <w:rPr>
          <w:color w:val="auto"/>
        </w:rPr>
      </w:pPr>
      <w:r w:rsidRPr="00EC6B6B">
        <w:rPr>
          <w:color w:val="auto"/>
        </w:rPr>
        <w:t xml:space="preserve">Фонд «Даму» имеет более чем 20 летний опыт поддержки ММСП в Казахстане. За этот период участниками программ Фонда «Даму» по финансовой поддержке предпринимательства стало более </w:t>
      </w:r>
      <w:r w:rsidR="00976A64" w:rsidRPr="00EC6B6B">
        <w:rPr>
          <w:color w:val="auto"/>
        </w:rPr>
        <w:t xml:space="preserve">113,2 </w:t>
      </w:r>
      <w:r w:rsidRPr="00EC6B6B">
        <w:rPr>
          <w:color w:val="auto"/>
        </w:rPr>
        <w:t xml:space="preserve">тыс. предпринимателей, еще более </w:t>
      </w:r>
      <w:r w:rsidR="00976A64" w:rsidRPr="00EC6B6B">
        <w:rPr>
          <w:color w:val="auto"/>
        </w:rPr>
        <w:t xml:space="preserve">224 </w:t>
      </w:r>
      <w:r w:rsidRPr="00EC6B6B">
        <w:rPr>
          <w:color w:val="auto"/>
        </w:rPr>
        <w:t>тыс. предпринимателей и представителей населения с предпринимательской инициативой приняли участие в программах по обучению и консультированию предпринимателей.</w:t>
      </w:r>
    </w:p>
    <w:p w14:paraId="6793F2DE" w14:textId="31D90F75" w:rsidR="00976A64" w:rsidRPr="00EC6B6B" w:rsidRDefault="00976A64">
      <w:pPr>
        <w:ind w:firstLine="426"/>
        <w:jc w:val="both"/>
        <w:rPr>
          <w:color w:val="auto"/>
        </w:rPr>
      </w:pPr>
      <w:r w:rsidRPr="00EC6B6B">
        <w:rPr>
          <w:color w:val="auto"/>
        </w:rPr>
        <w:lastRenderedPageBreak/>
        <w:t>По состоянию на 1 января 2021 года через обусловленное размещение средств (через БВУ, МФО и ЛК) было профинансировано более 69 тыс. заемщиков на сумму более 2 383 млрд тенге, средняя эффективная ставка составила 11,9%, создано более 172 тыс. рабочих мест.</w:t>
      </w:r>
    </w:p>
    <w:p w14:paraId="49A924AA" w14:textId="21EA6371" w:rsidR="00014C1A" w:rsidRDefault="00003B0B">
      <w:pPr>
        <w:ind w:firstLine="426"/>
        <w:jc w:val="both"/>
      </w:pPr>
      <w:r>
        <w:t xml:space="preserve">До 2010 года большая часть участников программ Фонда «Даму» получала финансовую поддержку в рамках программ обусловленного размещения средств в БВУ. </w:t>
      </w:r>
    </w:p>
    <w:p w14:paraId="78F059F5" w14:textId="6FA5D77E" w:rsidR="00014C1A" w:rsidRDefault="00003B0B">
      <w:pPr>
        <w:ind w:firstLine="426"/>
        <w:jc w:val="both"/>
      </w:pPr>
      <w:r>
        <w:t xml:space="preserve">За период с </w:t>
      </w:r>
      <w:r w:rsidR="00F7490D">
        <w:t xml:space="preserve">2010 </w:t>
      </w:r>
      <w:r>
        <w:t xml:space="preserve">по </w:t>
      </w:r>
      <w:r w:rsidR="00F7490D">
        <w:t>декабрь 2020</w:t>
      </w:r>
      <w:r>
        <w:t xml:space="preserve"> года объем денежных средств увеличился с 388 </w:t>
      </w:r>
      <w:r w:rsidR="00B646B3">
        <w:t>млрд</w:t>
      </w:r>
      <w:r>
        <w:t xml:space="preserve"> тенге до </w:t>
      </w:r>
      <w:r w:rsidR="00F7490D">
        <w:t>2 383</w:t>
      </w:r>
      <w:r>
        <w:t xml:space="preserve"> </w:t>
      </w:r>
      <w:r w:rsidR="00B646B3">
        <w:t>млрд</w:t>
      </w:r>
      <w:r>
        <w:t xml:space="preserve"> тенге, количество заемщиков увеличилось с </w:t>
      </w:r>
      <w:r w:rsidR="00F7490D">
        <w:t>7,6</w:t>
      </w:r>
      <w:r>
        <w:t xml:space="preserve"> тыс. ед. до </w:t>
      </w:r>
      <w:r w:rsidR="00F7490D">
        <w:t>69,4</w:t>
      </w:r>
      <w:r>
        <w:t xml:space="preserve"> тыс. ед.</w:t>
      </w:r>
    </w:p>
    <w:p w14:paraId="37B801CB" w14:textId="20FC371B" w:rsidR="00014C1A" w:rsidRPr="00EC6B6B" w:rsidRDefault="00003B0B">
      <w:pPr>
        <w:ind w:firstLine="426"/>
        <w:jc w:val="both"/>
        <w:rPr>
          <w:color w:val="auto"/>
        </w:rPr>
      </w:pPr>
      <w:r>
        <w:t>Для увеличения степени доступности финансирования</w:t>
      </w:r>
      <w:r w:rsidR="00F7490D">
        <w:t xml:space="preserve"> Фонда</w:t>
      </w:r>
      <w:r>
        <w:t xml:space="preserve"> </w:t>
      </w:r>
      <w:r w:rsidR="00F7490D">
        <w:t>п</w:t>
      </w:r>
      <w:r>
        <w:t xml:space="preserve">о мере внедрения программ </w:t>
      </w:r>
      <w:r w:rsidRPr="00EC6B6B">
        <w:rPr>
          <w:color w:val="auto"/>
        </w:rPr>
        <w:t>обусловленного размещения средств происходило планомерное внедрение ограничивающих условий</w:t>
      </w:r>
      <w:r w:rsidR="00F7490D" w:rsidRPr="00EC6B6B">
        <w:rPr>
          <w:color w:val="auto"/>
        </w:rPr>
        <w:t>, в частности,</w:t>
      </w:r>
      <w:r w:rsidRPr="00EC6B6B">
        <w:rPr>
          <w:color w:val="auto"/>
        </w:rPr>
        <w:t xml:space="preserve"> по максимальной ставке вознаграждения</w:t>
      </w:r>
      <w:r w:rsidR="00F7490D" w:rsidRPr="00EC6B6B">
        <w:rPr>
          <w:color w:val="auto"/>
        </w:rPr>
        <w:t xml:space="preserve"> для конечных заемщиков (СМСП)</w:t>
      </w:r>
      <w:r w:rsidRPr="00EC6B6B">
        <w:rPr>
          <w:color w:val="auto"/>
        </w:rPr>
        <w:t xml:space="preserve">: если в условиях размещения 1 транша Стабилизационной программы </w:t>
      </w:r>
      <w:r w:rsidR="00F7490D" w:rsidRPr="00EC6B6B">
        <w:rPr>
          <w:color w:val="auto"/>
        </w:rPr>
        <w:t xml:space="preserve">(2007 года) </w:t>
      </w:r>
      <w:r w:rsidRPr="00EC6B6B">
        <w:rPr>
          <w:color w:val="auto"/>
        </w:rPr>
        <w:t xml:space="preserve">банкам предоставлялось право выдавать кредиты по рыночной ставке, то уже в условиях 2 транша Стабилизационной программы </w:t>
      </w:r>
      <w:r w:rsidR="00F7490D" w:rsidRPr="00EC6B6B">
        <w:rPr>
          <w:color w:val="auto"/>
        </w:rPr>
        <w:t xml:space="preserve">(2008 года) </w:t>
      </w:r>
      <w:r w:rsidRPr="00EC6B6B">
        <w:rPr>
          <w:color w:val="auto"/>
        </w:rPr>
        <w:t xml:space="preserve">номинальная ставка ограничивалась 12,5% годовых, а в условиях 3 транша Стабилизационной программы </w:t>
      </w:r>
      <w:r w:rsidR="00F7490D" w:rsidRPr="00EC6B6B">
        <w:rPr>
          <w:color w:val="auto"/>
        </w:rPr>
        <w:t xml:space="preserve">(2009 года) </w:t>
      </w:r>
      <w:r w:rsidRPr="00EC6B6B">
        <w:rPr>
          <w:color w:val="auto"/>
        </w:rPr>
        <w:t>такое ограничение было установлено для эффективной ставки.</w:t>
      </w:r>
    </w:p>
    <w:p w14:paraId="292990E7" w14:textId="2C050FEB" w:rsidR="00014C1A" w:rsidRPr="00EC6B6B" w:rsidRDefault="00003B0B">
      <w:pPr>
        <w:ind w:firstLine="426"/>
        <w:jc w:val="both"/>
        <w:rPr>
          <w:color w:val="auto"/>
        </w:rPr>
      </w:pPr>
      <w:r w:rsidRPr="00EC6B6B">
        <w:rPr>
          <w:color w:val="auto"/>
        </w:rPr>
        <w:t>В результате этого за 200</w:t>
      </w:r>
      <w:r w:rsidR="00F7490D" w:rsidRPr="00EC6B6B">
        <w:rPr>
          <w:color w:val="auto"/>
        </w:rPr>
        <w:t>7</w:t>
      </w:r>
      <w:r w:rsidRPr="00EC6B6B">
        <w:rPr>
          <w:color w:val="auto"/>
        </w:rPr>
        <w:t xml:space="preserve">-2013 годы средневзвешенная ставка по программам Фонда «Даму» постепенно снизилась с </w:t>
      </w:r>
      <w:r w:rsidR="00F7490D" w:rsidRPr="00EC6B6B">
        <w:rPr>
          <w:color w:val="auto"/>
        </w:rPr>
        <w:t>16,6</w:t>
      </w:r>
      <w:r w:rsidRPr="00EC6B6B">
        <w:rPr>
          <w:color w:val="auto"/>
        </w:rPr>
        <w:t xml:space="preserve">% до </w:t>
      </w:r>
      <w:r w:rsidR="00F7490D" w:rsidRPr="00EC6B6B">
        <w:rPr>
          <w:color w:val="auto"/>
        </w:rPr>
        <w:t>12,3</w:t>
      </w:r>
      <w:r w:rsidRPr="00EC6B6B">
        <w:rPr>
          <w:color w:val="auto"/>
        </w:rPr>
        <w:t>%.</w:t>
      </w:r>
    </w:p>
    <w:p w14:paraId="3AA8C4B0" w14:textId="59406710" w:rsidR="00014C1A" w:rsidRPr="00EC6B6B" w:rsidRDefault="00F7490D">
      <w:pPr>
        <w:ind w:firstLine="426"/>
        <w:jc w:val="both"/>
        <w:rPr>
          <w:color w:val="auto"/>
        </w:rPr>
      </w:pPr>
      <w:r w:rsidRPr="00EC6B6B">
        <w:rPr>
          <w:color w:val="auto"/>
        </w:rPr>
        <w:t>В</w:t>
      </w:r>
      <w:r w:rsidR="00003B0B" w:rsidRPr="00EC6B6B">
        <w:rPr>
          <w:color w:val="auto"/>
        </w:rPr>
        <w:t xml:space="preserve"> 2014-2015 годы из НФ РК были выделены средства на программу финансирования ММСП</w:t>
      </w:r>
      <w:r w:rsidRPr="00EC6B6B">
        <w:rPr>
          <w:color w:val="auto"/>
        </w:rPr>
        <w:t>, занятых</w:t>
      </w:r>
      <w:r w:rsidR="00003B0B" w:rsidRPr="00EC6B6B">
        <w:rPr>
          <w:color w:val="auto"/>
        </w:rPr>
        <w:t xml:space="preserve"> в обрабатывающей промышленности в размере 200 </w:t>
      </w:r>
      <w:r w:rsidR="00B646B3">
        <w:rPr>
          <w:color w:val="auto"/>
        </w:rPr>
        <w:t>млрд</w:t>
      </w:r>
      <w:r w:rsidR="00003B0B" w:rsidRPr="00EC6B6B">
        <w:rPr>
          <w:color w:val="auto"/>
        </w:rPr>
        <w:t xml:space="preserve"> тенге с конечной </w:t>
      </w:r>
      <w:r w:rsidRPr="00EC6B6B">
        <w:rPr>
          <w:color w:val="auto"/>
        </w:rPr>
        <w:t xml:space="preserve">(номинальной) </w:t>
      </w:r>
      <w:r w:rsidR="00003B0B" w:rsidRPr="00EC6B6B">
        <w:rPr>
          <w:color w:val="auto"/>
        </w:rPr>
        <w:t>ставкой на заемщика до 6% годовых.</w:t>
      </w:r>
    </w:p>
    <w:p w14:paraId="778E5473" w14:textId="794621C7" w:rsidR="00014C1A" w:rsidRPr="00EC6B6B" w:rsidRDefault="00003B0B">
      <w:pPr>
        <w:ind w:firstLine="426"/>
        <w:jc w:val="both"/>
        <w:rPr>
          <w:color w:val="auto"/>
        </w:rPr>
      </w:pPr>
      <w:r w:rsidRPr="00EC6B6B">
        <w:rPr>
          <w:color w:val="auto"/>
        </w:rPr>
        <w:t>В результате этого за 2013-</w:t>
      </w:r>
      <w:r w:rsidR="00F7490D" w:rsidRPr="00EC6B6B">
        <w:rPr>
          <w:color w:val="auto"/>
        </w:rPr>
        <w:t xml:space="preserve">2020 </w:t>
      </w:r>
      <w:r w:rsidRPr="00EC6B6B">
        <w:rPr>
          <w:color w:val="auto"/>
        </w:rPr>
        <w:t xml:space="preserve">годы средневзвешенная ставка по программам Фонда «Даму» постепенно снизилась с </w:t>
      </w:r>
      <w:r w:rsidR="00F7490D" w:rsidRPr="00EC6B6B">
        <w:rPr>
          <w:color w:val="auto"/>
        </w:rPr>
        <w:t>12,3</w:t>
      </w:r>
      <w:r w:rsidRPr="00EC6B6B">
        <w:rPr>
          <w:color w:val="auto"/>
        </w:rPr>
        <w:t>% до 9,</w:t>
      </w:r>
      <w:r w:rsidR="00F7490D" w:rsidRPr="00EC6B6B" w:rsidDel="00F7490D">
        <w:rPr>
          <w:color w:val="auto"/>
        </w:rPr>
        <w:t xml:space="preserve"> </w:t>
      </w:r>
      <w:r w:rsidR="00F7490D" w:rsidRPr="00EC6B6B">
        <w:rPr>
          <w:color w:val="auto"/>
        </w:rPr>
        <w:t>6</w:t>
      </w:r>
      <w:r w:rsidRPr="00EC6B6B">
        <w:rPr>
          <w:color w:val="auto"/>
        </w:rPr>
        <w:t>%.</w:t>
      </w:r>
    </w:p>
    <w:p w14:paraId="2A4AA8AE" w14:textId="6353D5A6" w:rsidR="00014C1A" w:rsidRPr="00EC6B6B" w:rsidRDefault="00003B0B">
      <w:pPr>
        <w:ind w:firstLine="426"/>
        <w:jc w:val="both"/>
        <w:rPr>
          <w:color w:val="auto"/>
        </w:rPr>
      </w:pPr>
      <w:r w:rsidRPr="00EC6B6B">
        <w:rPr>
          <w:color w:val="auto"/>
        </w:rPr>
        <w:t>В 2016 году Национальным Банком Республики Казахстан (далее - НБ РК) была значительно повышена базовая ставка, что привело к общему удорожанию кредитов на рынке. Средневзвешенная ставка по программам Фонда «Даму» в 2016 году составила 13,3%.</w:t>
      </w:r>
    </w:p>
    <w:p w14:paraId="22382CD4" w14:textId="657FAF6A" w:rsidR="00F7490D" w:rsidRPr="00EC6B6B" w:rsidRDefault="00F7490D">
      <w:pPr>
        <w:ind w:firstLine="426"/>
        <w:jc w:val="both"/>
        <w:rPr>
          <w:color w:val="auto"/>
        </w:rPr>
      </w:pPr>
      <w:r w:rsidRPr="00EC6B6B">
        <w:rPr>
          <w:color w:val="auto"/>
        </w:rPr>
        <w:t xml:space="preserve">В 2017-2018 годах внедрены ряд новых программ обусловленного размещения средств, ориентированных на финансирование микро и малых предприятий, таких как программы </w:t>
      </w:r>
      <w:r w:rsidR="005C7FED">
        <w:rPr>
          <w:color w:val="auto"/>
        </w:rPr>
        <w:t>«</w:t>
      </w:r>
      <w:r w:rsidRPr="00EC6B6B">
        <w:rPr>
          <w:color w:val="auto"/>
        </w:rPr>
        <w:t>Еңбек</w:t>
      </w:r>
      <w:r w:rsidR="005C7FED">
        <w:rPr>
          <w:color w:val="auto"/>
        </w:rPr>
        <w:t>»</w:t>
      </w:r>
      <w:r w:rsidRPr="00EC6B6B">
        <w:rPr>
          <w:color w:val="auto"/>
        </w:rPr>
        <w:t>, АБР 4 транш, Даму-Микро, но ставки вознаграждения на конечного заемщика ограничивались от 6 % годовых и достигали по программе Даму-Микро до рыночного уровня, т.к. последняя реализовывалась через МФО. Но это не повлияло на динамику ставки.</w:t>
      </w:r>
    </w:p>
    <w:p w14:paraId="0D35DA14" w14:textId="5D00A37E" w:rsidR="00014C1A" w:rsidRDefault="00003B0B">
      <w:pPr>
        <w:ind w:firstLine="426"/>
        <w:jc w:val="both"/>
      </w:pPr>
      <w:r w:rsidRPr="00EC6B6B">
        <w:rPr>
          <w:color w:val="auto"/>
        </w:rPr>
        <w:t xml:space="preserve">Таким образом, можно утверждать, что реализация программ обусловленного размещения средств сыграла немаловажную </w:t>
      </w:r>
      <w:r>
        <w:t>роль в снижении общего уровня процентных ставок вознаграждения по кредитам ММСП. В 2008-2015 годы по данным НБ РК средневзвешенная ставка кредитования малого предпринимательства снизилась на 5,2 процентных пункта.</w:t>
      </w:r>
    </w:p>
    <w:p w14:paraId="65FBF3F3" w14:textId="77777777" w:rsidR="00014C1A" w:rsidRDefault="00003B0B">
      <w:pPr>
        <w:ind w:firstLine="426"/>
        <w:jc w:val="both"/>
      </w:pPr>
      <w:r>
        <w:rPr>
          <w:b/>
          <w:bCs/>
        </w:rPr>
        <w:t> </w:t>
      </w:r>
    </w:p>
    <w:p w14:paraId="0DCAA472" w14:textId="77777777" w:rsidR="00014C1A" w:rsidRDefault="00003B0B">
      <w:pPr>
        <w:ind w:firstLine="426"/>
        <w:jc w:val="center"/>
      </w:pPr>
      <w:r>
        <w:rPr>
          <w:b/>
          <w:bCs/>
        </w:rPr>
        <w:t xml:space="preserve">Динамика средневзвешенных номинальных ставок вознаграждения </w:t>
      </w:r>
    </w:p>
    <w:p w14:paraId="321363DC" w14:textId="77777777" w:rsidR="00014C1A" w:rsidRDefault="00003B0B">
      <w:pPr>
        <w:ind w:firstLine="426"/>
        <w:jc w:val="center"/>
      </w:pPr>
      <w:r>
        <w:rPr>
          <w:b/>
          <w:bCs/>
        </w:rPr>
        <w:t>по кредитам БВУ СМП и по программам Фонда «Даму» по годам</w:t>
      </w:r>
    </w:p>
    <w:p w14:paraId="2CEABC79" w14:textId="77777777" w:rsidR="00014C1A" w:rsidRDefault="00003B0B">
      <w:pPr>
        <w:ind w:firstLine="426"/>
        <w:jc w:val="center"/>
      </w:pPr>
      <w:r>
        <w:t> </w:t>
      </w:r>
    </w:p>
    <w:p w14:paraId="444D47B9" w14:textId="41B31C2A" w:rsidR="00014C1A" w:rsidRDefault="00003B0B" w:rsidP="00216239">
      <w:pPr>
        <w:jc w:val="center"/>
      </w:pPr>
      <w:r>
        <w:rPr>
          <w:noProof/>
        </w:rPr>
        <w:lastRenderedPageBreak/>
        <w:drawing>
          <wp:inline distT="0" distB="0" distL="0" distR="0" wp14:anchorId="4C68ECFF" wp14:editId="0F4C4869">
            <wp:extent cx="5867400" cy="2647950"/>
            <wp:effectExtent l="0" t="0" r="0" b="0"/>
            <wp:docPr id="7" name="Рисунок 7" descr="https://prod-prg-document-store-api.azurewebsites.net/api/DocumentObject/GetImageAsync?ImageId=4134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od-prg-document-store-api.azurewebsites.net/api/DocumentObject/GetImageAsync?ImageId=41348319"/>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5867400" cy="2647950"/>
                    </a:xfrm>
                    <a:prstGeom prst="rect">
                      <a:avLst/>
                    </a:prstGeom>
                    <a:noFill/>
                    <a:ln>
                      <a:noFill/>
                    </a:ln>
                  </pic:spPr>
                </pic:pic>
              </a:graphicData>
            </a:graphic>
          </wp:inline>
        </w:drawing>
      </w:r>
    </w:p>
    <w:p w14:paraId="63C54EE9" w14:textId="5DACEF2C" w:rsidR="00014C1A" w:rsidRDefault="00003B0B">
      <w:pPr>
        <w:ind w:firstLine="426"/>
        <w:jc w:val="center"/>
      </w:pPr>
      <w:r>
        <w:rPr>
          <w:i/>
          <w:iCs/>
        </w:rPr>
        <w:t> </w:t>
      </w:r>
      <w:r w:rsidR="00307BD7" w:rsidRPr="00311A1C">
        <w:rPr>
          <w:noProof/>
          <w:color w:val="00B050"/>
        </w:rPr>
        <w:drawing>
          <wp:inline distT="0" distB="0" distL="0" distR="0" wp14:anchorId="780D81F8" wp14:editId="4ECB05A3">
            <wp:extent cx="5940425" cy="2126034"/>
            <wp:effectExtent l="0" t="0" r="3175" b="7620"/>
            <wp:docPr id="26" name="Диаграмма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3711E28" w14:textId="77777777" w:rsidR="00014C1A" w:rsidRDefault="00003B0B">
      <w:pPr>
        <w:ind w:firstLine="426"/>
        <w:jc w:val="center"/>
      </w:pPr>
      <w:r>
        <w:rPr>
          <w:i/>
          <w:iCs/>
        </w:rPr>
        <w:t>Источник: Национальный Банк РК (</w:t>
      </w:r>
      <w:r>
        <w:rPr>
          <w:i/>
          <w:iCs/>
          <w:lang w:val="en-US"/>
        </w:rPr>
        <w:t>www</w:t>
      </w:r>
      <w:r>
        <w:rPr>
          <w:i/>
          <w:iCs/>
        </w:rPr>
        <w:t>.</w:t>
      </w:r>
      <w:r>
        <w:rPr>
          <w:i/>
          <w:iCs/>
          <w:lang w:val="en-US"/>
        </w:rPr>
        <w:t>nationalbank</w:t>
      </w:r>
      <w:r>
        <w:rPr>
          <w:i/>
          <w:iCs/>
        </w:rPr>
        <w:t>.</w:t>
      </w:r>
      <w:r>
        <w:rPr>
          <w:i/>
          <w:iCs/>
          <w:lang w:val="en-US"/>
        </w:rPr>
        <w:t>kz</w:t>
      </w:r>
      <w:r>
        <w:rPr>
          <w:i/>
          <w:iCs/>
        </w:rPr>
        <w:t>). Фонд «Даму»</w:t>
      </w:r>
    </w:p>
    <w:p w14:paraId="459EB262" w14:textId="77777777" w:rsidR="00014C1A" w:rsidRDefault="00003B0B">
      <w:pPr>
        <w:ind w:firstLine="426"/>
        <w:jc w:val="center"/>
      </w:pPr>
      <w:r>
        <w:t> </w:t>
      </w:r>
    </w:p>
    <w:p w14:paraId="742E28DF" w14:textId="77777777" w:rsidR="00014C1A" w:rsidRDefault="00003B0B">
      <w:pPr>
        <w:ind w:firstLine="426"/>
        <w:jc w:val="both"/>
      </w:pPr>
      <w:r>
        <w:t> </w:t>
      </w:r>
    </w:p>
    <w:p w14:paraId="29E2F9F6" w14:textId="08C793D0" w:rsidR="00014C1A" w:rsidRPr="00EC6B6B" w:rsidRDefault="00003B0B">
      <w:pPr>
        <w:ind w:firstLine="426"/>
        <w:jc w:val="both"/>
        <w:rPr>
          <w:color w:val="auto"/>
        </w:rPr>
      </w:pPr>
      <w:r>
        <w:t xml:space="preserve">В </w:t>
      </w:r>
      <w:r w:rsidRPr="00EC6B6B">
        <w:rPr>
          <w:color w:val="auto"/>
        </w:rPr>
        <w:t xml:space="preserve">региональном разрезе </w:t>
      </w:r>
      <w:r w:rsidR="00307BD7" w:rsidRPr="00EC6B6B">
        <w:rPr>
          <w:color w:val="auto"/>
        </w:rPr>
        <w:t xml:space="preserve">по состоянию на 1 января 2021 года </w:t>
      </w:r>
      <w:r w:rsidRPr="00EC6B6B">
        <w:rPr>
          <w:color w:val="auto"/>
        </w:rPr>
        <w:t xml:space="preserve">наибольшие суммы были выданы в г. Алматы - </w:t>
      </w:r>
      <w:r w:rsidR="00307BD7" w:rsidRPr="00EC6B6B">
        <w:rPr>
          <w:color w:val="auto"/>
        </w:rPr>
        <w:t>377,7</w:t>
      </w:r>
      <w:r w:rsidRPr="00EC6B6B">
        <w:rPr>
          <w:color w:val="auto"/>
        </w:rPr>
        <w:t xml:space="preserve"> </w:t>
      </w:r>
      <w:r w:rsidR="00B646B3">
        <w:rPr>
          <w:color w:val="auto"/>
        </w:rPr>
        <w:t>млрд</w:t>
      </w:r>
      <w:r w:rsidRPr="00EC6B6B">
        <w:rPr>
          <w:color w:val="auto"/>
        </w:rPr>
        <w:t xml:space="preserve"> тенге (</w:t>
      </w:r>
      <w:r w:rsidR="00307BD7" w:rsidRPr="00EC6B6B">
        <w:rPr>
          <w:color w:val="auto"/>
        </w:rPr>
        <w:t>3 415</w:t>
      </w:r>
      <w:r w:rsidRPr="00EC6B6B">
        <w:rPr>
          <w:color w:val="auto"/>
        </w:rPr>
        <w:t xml:space="preserve"> заемщиков) и Карагандинской области - </w:t>
      </w:r>
      <w:r w:rsidR="00307BD7" w:rsidRPr="00EC6B6B">
        <w:rPr>
          <w:color w:val="auto"/>
        </w:rPr>
        <w:t>227,5</w:t>
      </w:r>
      <w:r w:rsidRPr="00EC6B6B">
        <w:rPr>
          <w:color w:val="auto"/>
        </w:rPr>
        <w:t xml:space="preserve"> </w:t>
      </w:r>
      <w:r w:rsidR="00B646B3">
        <w:rPr>
          <w:color w:val="auto"/>
        </w:rPr>
        <w:t>млрд</w:t>
      </w:r>
      <w:r w:rsidRPr="00EC6B6B">
        <w:rPr>
          <w:color w:val="auto"/>
        </w:rPr>
        <w:t xml:space="preserve"> тенге (2 </w:t>
      </w:r>
      <w:r w:rsidR="00307BD7" w:rsidRPr="00EC6B6B">
        <w:rPr>
          <w:color w:val="auto"/>
        </w:rPr>
        <w:t>970</w:t>
      </w:r>
      <w:r w:rsidRPr="00EC6B6B">
        <w:rPr>
          <w:color w:val="auto"/>
        </w:rPr>
        <w:t xml:space="preserve"> заемщика). Наименьшие суммы выдачи наблюдаются </w:t>
      </w:r>
      <w:r w:rsidR="0085243F" w:rsidRPr="00EC6B6B">
        <w:rPr>
          <w:color w:val="auto"/>
        </w:rPr>
        <w:t xml:space="preserve">в г.Шымкент – 41,5 млрд тенге (2 764 заемщика) и </w:t>
      </w:r>
      <w:r w:rsidRPr="00EC6B6B">
        <w:rPr>
          <w:color w:val="auto"/>
        </w:rPr>
        <w:t xml:space="preserve">в Кызылординской области - </w:t>
      </w:r>
      <w:r w:rsidR="0085243F" w:rsidRPr="00EC6B6B">
        <w:rPr>
          <w:color w:val="auto"/>
        </w:rPr>
        <w:t>53,0</w:t>
      </w:r>
      <w:r w:rsidRPr="00EC6B6B">
        <w:rPr>
          <w:color w:val="auto"/>
        </w:rPr>
        <w:t xml:space="preserve"> </w:t>
      </w:r>
      <w:r w:rsidR="00B646B3">
        <w:rPr>
          <w:color w:val="auto"/>
        </w:rPr>
        <w:t>млрд</w:t>
      </w:r>
      <w:r w:rsidRPr="00EC6B6B">
        <w:rPr>
          <w:color w:val="auto"/>
        </w:rPr>
        <w:t xml:space="preserve"> тенге (</w:t>
      </w:r>
      <w:r w:rsidR="0085243F" w:rsidRPr="00EC6B6B">
        <w:rPr>
          <w:color w:val="auto"/>
        </w:rPr>
        <w:t>4 844</w:t>
      </w:r>
      <w:r w:rsidRPr="00EC6B6B">
        <w:rPr>
          <w:color w:val="auto"/>
        </w:rPr>
        <w:t xml:space="preserve"> заемщик</w:t>
      </w:r>
      <w:r w:rsidR="0085243F" w:rsidRPr="00EC6B6B">
        <w:rPr>
          <w:color w:val="auto"/>
        </w:rPr>
        <w:t>а</w:t>
      </w:r>
      <w:r w:rsidRPr="00EC6B6B">
        <w:rPr>
          <w:color w:val="auto"/>
        </w:rPr>
        <w:t>).</w:t>
      </w:r>
    </w:p>
    <w:p w14:paraId="039C0B18" w14:textId="77777777" w:rsidR="00014C1A" w:rsidRDefault="00003B0B">
      <w:pPr>
        <w:ind w:firstLine="426"/>
        <w:jc w:val="both"/>
      </w:pPr>
      <w:r>
        <w:rPr>
          <w:b/>
          <w:bCs/>
        </w:rPr>
        <w:t> </w:t>
      </w:r>
    </w:p>
    <w:p w14:paraId="14623817" w14:textId="77777777" w:rsidR="00014C1A" w:rsidRDefault="00003B0B">
      <w:pPr>
        <w:ind w:firstLine="426"/>
        <w:jc w:val="center"/>
      </w:pPr>
      <w:r>
        <w:rPr>
          <w:b/>
          <w:bCs/>
        </w:rPr>
        <w:t>Результаты реализации программ обусловленного размещения средств в разрезе регионов</w:t>
      </w:r>
    </w:p>
    <w:p w14:paraId="0346B942" w14:textId="3845FFA5" w:rsidR="0094182F" w:rsidRDefault="00003B0B" w:rsidP="00216239">
      <w:pPr>
        <w:ind w:firstLine="426"/>
        <w:jc w:val="center"/>
      </w:pPr>
      <w:r>
        <w:t>  </w:t>
      </w:r>
    </w:p>
    <w:tbl>
      <w:tblPr>
        <w:tblW w:w="9541" w:type="dxa"/>
        <w:tblInd w:w="93" w:type="dxa"/>
        <w:tblLook w:val="04A0" w:firstRow="1" w:lastRow="0" w:firstColumn="1" w:lastColumn="0" w:noHBand="0" w:noVBand="1"/>
      </w:tblPr>
      <w:tblGrid>
        <w:gridCol w:w="445"/>
        <w:gridCol w:w="2009"/>
        <w:gridCol w:w="1417"/>
        <w:gridCol w:w="993"/>
        <w:gridCol w:w="1275"/>
        <w:gridCol w:w="1276"/>
        <w:gridCol w:w="1006"/>
        <w:gridCol w:w="1134"/>
      </w:tblGrid>
      <w:tr w:rsidR="00216239" w:rsidRPr="00216239" w14:paraId="4AAF98C0" w14:textId="77777777" w:rsidTr="00FF0F59">
        <w:trPr>
          <w:trHeight w:val="750"/>
        </w:trPr>
        <w:tc>
          <w:tcPr>
            <w:tcW w:w="445" w:type="dxa"/>
            <w:vMerge w:val="restart"/>
            <w:tcBorders>
              <w:top w:val="single" w:sz="4" w:space="0" w:color="auto"/>
              <w:left w:val="single" w:sz="4" w:space="0" w:color="auto"/>
              <w:bottom w:val="single" w:sz="4" w:space="0" w:color="000000"/>
              <w:right w:val="single" w:sz="4" w:space="0" w:color="auto"/>
            </w:tcBorders>
            <w:tcMar>
              <w:top w:w="0" w:type="dxa"/>
              <w:left w:w="28" w:type="dxa"/>
              <w:bottom w:w="0" w:type="dxa"/>
              <w:right w:w="28" w:type="dxa"/>
            </w:tcMar>
            <w:vAlign w:val="center"/>
            <w:hideMark/>
          </w:tcPr>
          <w:p w14:paraId="4B3DC6AF" w14:textId="77777777" w:rsidR="0094182F" w:rsidRPr="00216239" w:rsidRDefault="0094182F" w:rsidP="00FF0F59">
            <w:pPr>
              <w:contextualSpacing/>
              <w:jc w:val="center"/>
              <w:rPr>
                <w:b/>
                <w:bCs/>
                <w:color w:val="auto"/>
                <w:lang w:val="kk-KZ"/>
              </w:rPr>
            </w:pPr>
            <w:r w:rsidRPr="00216239">
              <w:rPr>
                <w:b/>
                <w:bCs/>
                <w:color w:val="auto"/>
              </w:rPr>
              <w:t>№</w:t>
            </w:r>
          </w:p>
        </w:tc>
        <w:tc>
          <w:tcPr>
            <w:tcW w:w="2009" w:type="dxa"/>
            <w:vMerge w:val="restart"/>
            <w:tcBorders>
              <w:top w:val="single" w:sz="4" w:space="0" w:color="auto"/>
              <w:left w:val="single" w:sz="4" w:space="0" w:color="auto"/>
              <w:bottom w:val="single" w:sz="4" w:space="0" w:color="000000"/>
              <w:right w:val="single" w:sz="4" w:space="0" w:color="auto"/>
            </w:tcBorders>
            <w:tcMar>
              <w:top w:w="0" w:type="dxa"/>
              <w:left w:w="28" w:type="dxa"/>
              <w:bottom w:w="0" w:type="dxa"/>
              <w:right w:w="28" w:type="dxa"/>
            </w:tcMar>
            <w:vAlign w:val="center"/>
            <w:hideMark/>
          </w:tcPr>
          <w:p w14:paraId="1BFBF9C7" w14:textId="77777777" w:rsidR="0094182F" w:rsidRPr="00216239" w:rsidRDefault="0094182F" w:rsidP="00FF0F59">
            <w:pPr>
              <w:contextualSpacing/>
              <w:jc w:val="center"/>
              <w:rPr>
                <w:b/>
                <w:bCs/>
                <w:color w:val="auto"/>
                <w:lang w:val="kk-KZ"/>
              </w:rPr>
            </w:pPr>
            <w:r w:rsidRPr="00216239">
              <w:rPr>
                <w:b/>
                <w:bCs/>
                <w:color w:val="auto"/>
              </w:rPr>
              <w:t>Регион</w:t>
            </w:r>
          </w:p>
        </w:tc>
        <w:tc>
          <w:tcPr>
            <w:tcW w:w="1417" w:type="dxa"/>
            <w:vMerge w:val="restart"/>
            <w:tcBorders>
              <w:top w:val="single" w:sz="4" w:space="0" w:color="auto"/>
              <w:left w:val="single" w:sz="4" w:space="0" w:color="auto"/>
              <w:bottom w:val="single" w:sz="4" w:space="0" w:color="000000"/>
              <w:right w:val="single" w:sz="4" w:space="0" w:color="auto"/>
            </w:tcBorders>
            <w:tcMar>
              <w:top w:w="0" w:type="dxa"/>
              <w:left w:w="28" w:type="dxa"/>
              <w:bottom w:w="0" w:type="dxa"/>
              <w:right w:w="28" w:type="dxa"/>
            </w:tcMar>
            <w:vAlign w:val="center"/>
            <w:hideMark/>
          </w:tcPr>
          <w:p w14:paraId="2CA9F560" w14:textId="77777777" w:rsidR="0094182F" w:rsidRPr="00216239" w:rsidRDefault="0094182F" w:rsidP="00FF0F59">
            <w:pPr>
              <w:contextualSpacing/>
              <w:jc w:val="center"/>
              <w:rPr>
                <w:b/>
                <w:bCs/>
                <w:color w:val="auto"/>
                <w:lang w:val="kk-KZ"/>
              </w:rPr>
            </w:pPr>
            <w:r w:rsidRPr="00216239">
              <w:rPr>
                <w:b/>
                <w:bCs/>
                <w:color w:val="auto"/>
              </w:rPr>
              <w:t>Выдано, млн тенге</w:t>
            </w:r>
          </w:p>
        </w:tc>
        <w:tc>
          <w:tcPr>
            <w:tcW w:w="993" w:type="dxa"/>
            <w:vMerge w:val="restart"/>
            <w:tcBorders>
              <w:top w:val="single" w:sz="4" w:space="0" w:color="auto"/>
              <w:left w:val="single" w:sz="4" w:space="0" w:color="auto"/>
              <w:bottom w:val="single" w:sz="4" w:space="0" w:color="000000"/>
              <w:right w:val="single" w:sz="4" w:space="0" w:color="auto"/>
            </w:tcBorders>
            <w:tcMar>
              <w:top w:w="0" w:type="dxa"/>
              <w:left w:w="28" w:type="dxa"/>
              <w:bottom w:w="0" w:type="dxa"/>
              <w:right w:w="28" w:type="dxa"/>
            </w:tcMar>
            <w:vAlign w:val="center"/>
            <w:hideMark/>
          </w:tcPr>
          <w:p w14:paraId="0F37328E" w14:textId="77777777" w:rsidR="0094182F" w:rsidRPr="00216239" w:rsidRDefault="0094182F" w:rsidP="00FF0F59">
            <w:pPr>
              <w:contextualSpacing/>
              <w:jc w:val="center"/>
              <w:rPr>
                <w:b/>
                <w:bCs/>
                <w:color w:val="auto"/>
                <w:lang w:val="kk-KZ"/>
              </w:rPr>
            </w:pPr>
            <w:r w:rsidRPr="00216239">
              <w:rPr>
                <w:b/>
                <w:bCs/>
                <w:color w:val="auto"/>
              </w:rPr>
              <w:t>Доля, %</w:t>
            </w:r>
          </w:p>
        </w:tc>
        <w:tc>
          <w:tcPr>
            <w:tcW w:w="1275" w:type="dxa"/>
            <w:vMerge w:val="restart"/>
            <w:tcBorders>
              <w:top w:val="single" w:sz="4" w:space="0" w:color="auto"/>
              <w:left w:val="single" w:sz="4" w:space="0" w:color="auto"/>
              <w:bottom w:val="single" w:sz="4" w:space="0" w:color="000000"/>
              <w:right w:val="single" w:sz="4" w:space="0" w:color="auto"/>
            </w:tcBorders>
            <w:tcMar>
              <w:top w:w="0" w:type="dxa"/>
              <w:left w:w="28" w:type="dxa"/>
              <w:bottom w:w="0" w:type="dxa"/>
              <w:right w:w="28" w:type="dxa"/>
            </w:tcMar>
            <w:vAlign w:val="center"/>
            <w:hideMark/>
          </w:tcPr>
          <w:p w14:paraId="539B1A6C" w14:textId="77777777" w:rsidR="0094182F" w:rsidRPr="00216239" w:rsidRDefault="0094182F" w:rsidP="00FF0F59">
            <w:pPr>
              <w:contextualSpacing/>
              <w:jc w:val="center"/>
              <w:rPr>
                <w:b/>
                <w:bCs/>
                <w:color w:val="auto"/>
                <w:lang w:val="kk-KZ"/>
              </w:rPr>
            </w:pPr>
            <w:r w:rsidRPr="00216239">
              <w:rPr>
                <w:b/>
                <w:bCs/>
                <w:color w:val="auto"/>
              </w:rPr>
              <w:t>Кол-во заемщи-ков, ед.</w:t>
            </w:r>
          </w:p>
        </w:tc>
        <w:tc>
          <w:tcPr>
            <w:tcW w:w="1276" w:type="dxa"/>
            <w:vMerge w:val="restart"/>
            <w:tcBorders>
              <w:top w:val="single" w:sz="4" w:space="0" w:color="auto"/>
              <w:left w:val="single" w:sz="4" w:space="0" w:color="auto"/>
              <w:bottom w:val="single" w:sz="4" w:space="0" w:color="000000"/>
              <w:right w:val="single" w:sz="4" w:space="0" w:color="auto"/>
            </w:tcBorders>
            <w:tcMar>
              <w:top w:w="0" w:type="dxa"/>
              <w:left w:w="28" w:type="dxa"/>
              <w:bottom w:w="0" w:type="dxa"/>
              <w:right w:w="28" w:type="dxa"/>
            </w:tcMar>
            <w:vAlign w:val="center"/>
            <w:hideMark/>
          </w:tcPr>
          <w:p w14:paraId="00517ADA" w14:textId="77777777" w:rsidR="0094182F" w:rsidRPr="00216239" w:rsidRDefault="0094182F" w:rsidP="00FF0F59">
            <w:pPr>
              <w:contextualSpacing/>
              <w:jc w:val="center"/>
              <w:rPr>
                <w:b/>
                <w:bCs/>
                <w:color w:val="auto"/>
                <w:lang w:val="kk-KZ"/>
              </w:rPr>
            </w:pPr>
            <w:r w:rsidRPr="00216239">
              <w:rPr>
                <w:b/>
                <w:bCs/>
                <w:color w:val="auto"/>
              </w:rPr>
              <w:t>Средняя сумма кредита,   млн тенге</w:t>
            </w:r>
          </w:p>
        </w:tc>
        <w:tc>
          <w:tcPr>
            <w:tcW w:w="992" w:type="dxa"/>
            <w:vMerge w:val="restart"/>
            <w:tcBorders>
              <w:top w:val="single" w:sz="4" w:space="0" w:color="auto"/>
              <w:left w:val="single" w:sz="4" w:space="0" w:color="auto"/>
              <w:bottom w:val="single" w:sz="4" w:space="0" w:color="000000"/>
              <w:right w:val="single" w:sz="4" w:space="0" w:color="auto"/>
            </w:tcBorders>
            <w:tcMar>
              <w:top w:w="0" w:type="dxa"/>
              <w:left w:w="28" w:type="dxa"/>
              <w:bottom w:w="0" w:type="dxa"/>
              <w:right w:w="28" w:type="dxa"/>
            </w:tcMar>
            <w:vAlign w:val="center"/>
            <w:hideMark/>
          </w:tcPr>
          <w:p w14:paraId="50E2B9F6" w14:textId="77777777" w:rsidR="0094182F" w:rsidRPr="00216239" w:rsidRDefault="0094182F" w:rsidP="00FF0F59">
            <w:pPr>
              <w:contextualSpacing/>
              <w:jc w:val="center"/>
              <w:rPr>
                <w:b/>
                <w:bCs/>
                <w:color w:val="auto"/>
                <w:lang w:val="kk-KZ"/>
              </w:rPr>
            </w:pPr>
            <w:r w:rsidRPr="00216239">
              <w:rPr>
                <w:b/>
                <w:bCs/>
                <w:color w:val="auto"/>
              </w:rPr>
              <w:t>Средний срок кредита, мес.</w:t>
            </w:r>
          </w:p>
        </w:tc>
        <w:tc>
          <w:tcPr>
            <w:tcW w:w="1134" w:type="dxa"/>
            <w:vMerge w:val="restart"/>
            <w:tcBorders>
              <w:top w:val="single" w:sz="4" w:space="0" w:color="auto"/>
              <w:left w:val="single" w:sz="4" w:space="0" w:color="auto"/>
              <w:bottom w:val="single" w:sz="4" w:space="0" w:color="000000"/>
              <w:right w:val="single" w:sz="4" w:space="0" w:color="auto"/>
            </w:tcBorders>
            <w:tcMar>
              <w:top w:w="0" w:type="dxa"/>
              <w:left w:w="28" w:type="dxa"/>
              <w:bottom w:w="0" w:type="dxa"/>
              <w:right w:w="28" w:type="dxa"/>
            </w:tcMar>
            <w:vAlign w:val="center"/>
            <w:hideMark/>
          </w:tcPr>
          <w:p w14:paraId="2504F820" w14:textId="77777777" w:rsidR="0094182F" w:rsidRPr="00216239" w:rsidRDefault="0094182F" w:rsidP="00FF0F59">
            <w:pPr>
              <w:contextualSpacing/>
              <w:jc w:val="center"/>
              <w:rPr>
                <w:b/>
                <w:bCs/>
                <w:color w:val="auto"/>
                <w:lang w:val="kk-KZ"/>
              </w:rPr>
            </w:pPr>
            <w:r w:rsidRPr="00216239">
              <w:rPr>
                <w:b/>
                <w:bCs/>
                <w:color w:val="auto"/>
              </w:rPr>
              <w:t>Создано рабочих мест, чел.</w:t>
            </w:r>
          </w:p>
        </w:tc>
      </w:tr>
      <w:tr w:rsidR="00216239" w:rsidRPr="00216239" w14:paraId="065D6898" w14:textId="77777777" w:rsidTr="00FF0F59">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D83CF45" w14:textId="77777777" w:rsidR="0094182F" w:rsidRPr="00216239" w:rsidRDefault="0094182F" w:rsidP="00FF0F59">
            <w:pPr>
              <w:rPr>
                <w:b/>
                <w:bCs/>
                <w:color w:val="auto"/>
                <w:lang w:val="kk-KZ"/>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4B37BE2" w14:textId="77777777" w:rsidR="0094182F" w:rsidRPr="00216239" w:rsidRDefault="0094182F" w:rsidP="00FF0F59">
            <w:pPr>
              <w:rPr>
                <w:b/>
                <w:bCs/>
                <w:color w:val="auto"/>
                <w:lang w:val="kk-KZ"/>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4A46393" w14:textId="77777777" w:rsidR="0094182F" w:rsidRPr="00216239" w:rsidRDefault="0094182F" w:rsidP="00FF0F59">
            <w:pPr>
              <w:rPr>
                <w:b/>
                <w:bCs/>
                <w:color w:val="auto"/>
                <w:lang w:val="kk-KZ"/>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18CA30B" w14:textId="77777777" w:rsidR="0094182F" w:rsidRPr="00216239" w:rsidRDefault="0094182F" w:rsidP="00FF0F59">
            <w:pPr>
              <w:rPr>
                <w:b/>
                <w:bCs/>
                <w:color w:val="auto"/>
                <w:lang w:val="kk-KZ"/>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57B003" w14:textId="77777777" w:rsidR="0094182F" w:rsidRPr="00216239" w:rsidRDefault="0094182F" w:rsidP="00FF0F59">
            <w:pPr>
              <w:rPr>
                <w:b/>
                <w:bCs/>
                <w:color w:val="auto"/>
                <w:lang w:val="kk-KZ"/>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E086D2E" w14:textId="77777777" w:rsidR="0094182F" w:rsidRPr="00216239" w:rsidRDefault="0094182F" w:rsidP="00FF0F59">
            <w:pPr>
              <w:rPr>
                <w:b/>
                <w:bCs/>
                <w:color w:val="auto"/>
                <w:lang w:val="kk-KZ"/>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45174EC" w14:textId="77777777" w:rsidR="0094182F" w:rsidRPr="00216239" w:rsidRDefault="0094182F" w:rsidP="00FF0F59">
            <w:pPr>
              <w:rPr>
                <w:b/>
                <w:bCs/>
                <w:color w:val="auto"/>
                <w:lang w:val="kk-KZ"/>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3FF5B46" w14:textId="77777777" w:rsidR="0094182F" w:rsidRPr="00216239" w:rsidRDefault="0094182F" w:rsidP="00FF0F59">
            <w:pPr>
              <w:rPr>
                <w:b/>
                <w:bCs/>
                <w:color w:val="auto"/>
                <w:lang w:val="kk-KZ"/>
              </w:rPr>
            </w:pPr>
          </w:p>
        </w:tc>
      </w:tr>
      <w:tr w:rsidR="00216239" w:rsidRPr="00216239" w14:paraId="0BC6FF42" w14:textId="77777777" w:rsidTr="00FF0F59">
        <w:trPr>
          <w:trHeight w:val="300"/>
        </w:trPr>
        <w:tc>
          <w:tcPr>
            <w:tcW w:w="445"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bottom"/>
            <w:hideMark/>
          </w:tcPr>
          <w:p w14:paraId="488252BB" w14:textId="77777777" w:rsidR="0094182F" w:rsidRPr="00216239" w:rsidRDefault="0094182F" w:rsidP="00FF0F59">
            <w:pPr>
              <w:contextualSpacing/>
              <w:jc w:val="center"/>
              <w:rPr>
                <w:color w:val="auto"/>
                <w:lang w:val="kk-KZ"/>
              </w:rPr>
            </w:pPr>
            <w:r w:rsidRPr="00216239">
              <w:rPr>
                <w:color w:val="auto"/>
              </w:rPr>
              <w:t>1</w:t>
            </w:r>
          </w:p>
        </w:tc>
        <w:tc>
          <w:tcPr>
            <w:tcW w:w="2009" w:type="dxa"/>
            <w:tcBorders>
              <w:top w:val="nil"/>
              <w:left w:val="nil"/>
              <w:bottom w:val="single" w:sz="4" w:space="0" w:color="auto"/>
              <w:right w:val="single" w:sz="4" w:space="0" w:color="auto"/>
            </w:tcBorders>
            <w:noWrap/>
            <w:tcMar>
              <w:top w:w="0" w:type="dxa"/>
              <w:left w:w="28" w:type="dxa"/>
              <w:bottom w:w="0" w:type="dxa"/>
              <w:right w:w="28" w:type="dxa"/>
            </w:tcMar>
            <w:hideMark/>
          </w:tcPr>
          <w:p w14:paraId="4AAC9CA9" w14:textId="77777777" w:rsidR="0094182F" w:rsidRPr="00216239" w:rsidRDefault="0094182F" w:rsidP="00FF0F59">
            <w:pPr>
              <w:contextualSpacing/>
              <w:jc w:val="center"/>
              <w:rPr>
                <w:color w:val="auto"/>
                <w:lang w:val="kk-KZ"/>
              </w:rPr>
            </w:pPr>
            <w:r w:rsidRPr="00216239">
              <w:rPr>
                <w:color w:val="auto"/>
              </w:rPr>
              <w:t>Акмолинская</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hideMark/>
          </w:tcPr>
          <w:p w14:paraId="5B02D93B" w14:textId="77777777" w:rsidR="0094182F" w:rsidRPr="00216239" w:rsidRDefault="0094182F" w:rsidP="00FF0F59">
            <w:pPr>
              <w:contextualSpacing/>
              <w:jc w:val="center"/>
              <w:rPr>
                <w:color w:val="auto"/>
                <w:lang w:val="kk-KZ" w:eastAsia="en-US"/>
              </w:rPr>
            </w:pPr>
            <w:r w:rsidRPr="00216239">
              <w:rPr>
                <w:color w:val="auto"/>
              </w:rPr>
              <w:t>106 726,00</w:t>
            </w:r>
          </w:p>
        </w:tc>
        <w:tc>
          <w:tcPr>
            <w:tcW w:w="993" w:type="dxa"/>
            <w:tcBorders>
              <w:top w:val="nil"/>
              <w:left w:val="nil"/>
              <w:bottom w:val="single" w:sz="4" w:space="0" w:color="auto"/>
              <w:right w:val="single" w:sz="4" w:space="0" w:color="auto"/>
            </w:tcBorders>
            <w:noWrap/>
            <w:tcMar>
              <w:top w:w="0" w:type="dxa"/>
              <w:left w:w="28" w:type="dxa"/>
              <w:bottom w:w="0" w:type="dxa"/>
              <w:right w:w="28" w:type="dxa"/>
            </w:tcMar>
            <w:hideMark/>
          </w:tcPr>
          <w:p w14:paraId="1754A479" w14:textId="77777777" w:rsidR="0094182F" w:rsidRPr="00216239" w:rsidRDefault="0094182F" w:rsidP="00FF0F59">
            <w:pPr>
              <w:contextualSpacing/>
              <w:jc w:val="center"/>
              <w:rPr>
                <w:color w:val="auto"/>
                <w:lang w:val="kk-KZ" w:eastAsia="en-US"/>
              </w:rPr>
            </w:pPr>
            <w:r w:rsidRPr="00216239">
              <w:rPr>
                <w:color w:val="auto"/>
              </w:rPr>
              <w:t>4,5%</w:t>
            </w:r>
          </w:p>
        </w:tc>
        <w:tc>
          <w:tcPr>
            <w:tcW w:w="1275" w:type="dxa"/>
            <w:tcBorders>
              <w:top w:val="nil"/>
              <w:left w:val="nil"/>
              <w:bottom w:val="single" w:sz="4" w:space="0" w:color="auto"/>
              <w:right w:val="single" w:sz="4" w:space="0" w:color="auto"/>
            </w:tcBorders>
            <w:noWrap/>
            <w:tcMar>
              <w:top w:w="0" w:type="dxa"/>
              <w:left w:w="28" w:type="dxa"/>
              <w:bottom w:w="0" w:type="dxa"/>
              <w:right w:w="28" w:type="dxa"/>
            </w:tcMar>
            <w:hideMark/>
          </w:tcPr>
          <w:p w14:paraId="253668FC" w14:textId="77777777" w:rsidR="0094182F" w:rsidRPr="00216239" w:rsidRDefault="0094182F" w:rsidP="00FF0F59">
            <w:pPr>
              <w:contextualSpacing/>
              <w:jc w:val="center"/>
              <w:rPr>
                <w:color w:val="auto"/>
                <w:lang w:val="kk-KZ" w:eastAsia="en-US"/>
              </w:rPr>
            </w:pPr>
            <w:r w:rsidRPr="00216239">
              <w:rPr>
                <w:color w:val="auto"/>
              </w:rPr>
              <w:t>1806</w:t>
            </w:r>
          </w:p>
        </w:tc>
        <w:tc>
          <w:tcPr>
            <w:tcW w:w="1276" w:type="dxa"/>
            <w:tcBorders>
              <w:top w:val="nil"/>
              <w:left w:val="nil"/>
              <w:bottom w:val="single" w:sz="4" w:space="0" w:color="auto"/>
              <w:right w:val="single" w:sz="4" w:space="0" w:color="auto"/>
            </w:tcBorders>
            <w:noWrap/>
            <w:tcMar>
              <w:top w:w="0" w:type="dxa"/>
              <w:left w:w="28" w:type="dxa"/>
              <w:bottom w:w="0" w:type="dxa"/>
              <w:right w:w="28" w:type="dxa"/>
            </w:tcMar>
            <w:hideMark/>
          </w:tcPr>
          <w:p w14:paraId="336659C6" w14:textId="77777777" w:rsidR="0094182F" w:rsidRPr="00216239" w:rsidRDefault="0094182F" w:rsidP="00FF0F59">
            <w:pPr>
              <w:contextualSpacing/>
              <w:jc w:val="center"/>
              <w:rPr>
                <w:color w:val="auto"/>
                <w:lang w:val="kk-KZ" w:eastAsia="en-US"/>
              </w:rPr>
            </w:pPr>
            <w:r w:rsidRPr="00216239">
              <w:rPr>
                <w:color w:val="auto"/>
              </w:rPr>
              <w:t>59</w:t>
            </w:r>
          </w:p>
        </w:tc>
        <w:tc>
          <w:tcPr>
            <w:tcW w:w="992" w:type="dxa"/>
            <w:tcBorders>
              <w:top w:val="nil"/>
              <w:left w:val="nil"/>
              <w:bottom w:val="single" w:sz="4" w:space="0" w:color="auto"/>
              <w:right w:val="single" w:sz="4" w:space="0" w:color="auto"/>
            </w:tcBorders>
            <w:noWrap/>
            <w:tcMar>
              <w:top w:w="0" w:type="dxa"/>
              <w:left w:w="28" w:type="dxa"/>
              <w:bottom w:w="0" w:type="dxa"/>
              <w:right w:w="28" w:type="dxa"/>
            </w:tcMar>
            <w:hideMark/>
          </w:tcPr>
          <w:p w14:paraId="788ECCAE" w14:textId="77777777" w:rsidR="0094182F" w:rsidRPr="00216239" w:rsidRDefault="0094182F" w:rsidP="00FF0F59">
            <w:pPr>
              <w:contextualSpacing/>
              <w:jc w:val="center"/>
              <w:rPr>
                <w:color w:val="auto"/>
                <w:lang w:val="kk-KZ" w:eastAsia="en-US"/>
              </w:rPr>
            </w:pPr>
            <w:r w:rsidRPr="00216239">
              <w:rPr>
                <w:color w:val="auto"/>
              </w:rPr>
              <w:t>43</w:t>
            </w:r>
          </w:p>
        </w:tc>
        <w:tc>
          <w:tcPr>
            <w:tcW w:w="1134" w:type="dxa"/>
            <w:tcBorders>
              <w:top w:val="nil"/>
              <w:left w:val="nil"/>
              <w:bottom w:val="single" w:sz="4" w:space="0" w:color="auto"/>
              <w:right w:val="single" w:sz="4" w:space="0" w:color="auto"/>
            </w:tcBorders>
            <w:noWrap/>
            <w:tcMar>
              <w:top w:w="0" w:type="dxa"/>
              <w:left w:w="28" w:type="dxa"/>
              <w:bottom w:w="0" w:type="dxa"/>
              <w:right w:w="28" w:type="dxa"/>
            </w:tcMar>
            <w:hideMark/>
          </w:tcPr>
          <w:p w14:paraId="194F218E" w14:textId="77777777" w:rsidR="0094182F" w:rsidRPr="00216239" w:rsidRDefault="0094182F" w:rsidP="00FF0F59">
            <w:pPr>
              <w:contextualSpacing/>
              <w:jc w:val="center"/>
              <w:rPr>
                <w:color w:val="auto"/>
                <w:lang w:val="kk-KZ" w:eastAsia="en-US"/>
              </w:rPr>
            </w:pPr>
            <w:r w:rsidRPr="00216239">
              <w:rPr>
                <w:color w:val="auto"/>
              </w:rPr>
              <w:t>6369</w:t>
            </w:r>
          </w:p>
        </w:tc>
      </w:tr>
      <w:tr w:rsidR="00216239" w:rsidRPr="00216239" w14:paraId="43C06248" w14:textId="77777777" w:rsidTr="00FF0F59">
        <w:trPr>
          <w:trHeight w:val="300"/>
        </w:trPr>
        <w:tc>
          <w:tcPr>
            <w:tcW w:w="445"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bottom"/>
            <w:hideMark/>
          </w:tcPr>
          <w:p w14:paraId="6C3B4311" w14:textId="77777777" w:rsidR="0094182F" w:rsidRPr="00216239" w:rsidRDefault="0094182F" w:rsidP="00FF0F59">
            <w:pPr>
              <w:contextualSpacing/>
              <w:jc w:val="center"/>
              <w:rPr>
                <w:color w:val="auto"/>
                <w:lang w:val="kk-KZ"/>
              </w:rPr>
            </w:pPr>
            <w:r w:rsidRPr="00216239">
              <w:rPr>
                <w:color w:val="auto"/>
              </w:rPr>
              <w:t>2</w:t>
            </w:r>
          </w:p>
        </w:tc>
        <w:tc>
          <w:tcPr>
            <w:tcW w:w="2009" w:type="dxa"/>
            <w:tcBorders>
              <w:top w:val="nil"/>
              <w:left w:val="nil"/>
              <w:bottom w:val="single" w:sz="4" w:space="0" w:color="auto"/>
              <w:right w:val="single" w:sz="4" w:space="0" w:color="auto"/>
            </w:tcBorders>
            <w:noWrap/>
            <w:tcMar>
              <w:top w:w="0" w:type="dxa"/>
              <w:left w:w="28" w:type="dxa"/>
              <w:bottom w:w="0" w:type="dxa"/>
              <w:right w:w="28" w:type="dxa"/>
            </w:tcMar>
            <w:hideMark/>
          </w:tcPr>
          <w:p w14:paraId="3888D6F1" w14:textId="77777777" w:rsidR="0094182F" w:rsidRPr="00216239" w:rsidRDefault="0094182F" w:rsidP="00FF0F59">
            <w:pPr>
              <w:contextualSpacing/>
              <w:jc w:val="center"/>
              <w:rPr>
                <w:color w:val="auto"/>
                <w:lang w:val="kk-KZ"/>
              </w:rPr>
            </w:pPr>
            <w:r w:rsidRPr="00216239">
              <w:rPr>
                <w:color w:val="auto"/>
              </w:rPr>
              <w:t>Актюбинская</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hideMark/>
          </w:tcPr>
          <w:p w14:paraId="74AAA773" w14:textId="77777777" w:rsidR="0094182F" w:rsidRPr="00216239" w:rsidRDefault="0094182F" w:rsidP="00FF0F59">
            <w:pPr>
              <w:contextualSpacing/>
              <w:jc w:val="center"/>
              <w:rPr>
                <w:color w:val="auto"/>
                <w:lang w:val="kk-KZ" w:eastAsia="en-US"/>
              </w:rPr>
            </w:pPr>
            <w:r w:rsidRPr="00216239">
              <w:rPr>
                <w:color w:val="auto"/>
              </w:rPr>
              <w:t>124 047,00</w:t>
            </w:r>
          </w:p>
        </w:tc>
        <w:tc>
          <w:tcPr>
            <w:tcW w:w="993" w:type="dxa"/>
            <w:tcBorders>
              <w:top w:val="nil"/>
              <w:left w:val="nil"/>
              <w:bottom w:val="single" w:sz="4" w:space="0" w:color="auto"/>
              <w:right w:val="single" w:sz="4" w:space="0" w:color="auto"/>
            </w:tcBorders>
            <w:noWrap/>
            <w:tcMar>
              <w:top w:w="0" w:type="dxa"/>
              <w:left w:w="28" w:type="dxa"/>
              <w:bottom w:w="0" w:type="dxa"/>
              <w:right w:w="28" w:type="dxa"/>
            </w:tcMar>
            <w:hideMark/>
          </w:tcPr>
          <w:p w14:paraId="51E6E70E" w14:textId="77777777" w:rsidR="0094182F" w:rsidRPr="00216239" w:rsidRDefault="0094182F" w:rsidP="00FF0F59">
            <w:pPr>
              <w:contextualSpacing/>
              <w:jc w:val="center"/>
              <w:rPr>
                <w:color w:val="auto"/>
                <w:lang w:val="kk-KZ" w:eastAsia="en-US"/>
              </w:rPr>
            </w:pPr>
            <w:r w:rsidRPr="00216239">
              <w:rPr>
                <w:color w:val="auto"/>
              </w:rPr>
              <w:t>5,2%</w:t>
            </w:r>
          </w:p>
        </w:tc>
        <w:tc>
          <w:tcPr>
            <w:tcW w:w="1275" w:type="dxa"/>
            <w:tcBorders>
              <w:top w:val="nil"/>
              <w:left w:val="nil"/>
              <w:bottom w:val="single" w:sz="4" w:space="0" w:color="auto"/>
              <w:right w:val="single" w:sz="4" w:space="0" w:color="auto"/>
            </w:tcBorders>
            <w:noWrap/>
            <w:tcMar>
              <w:top w:w="0" w:type="dxa"/>
              <w:left w:w="28" w:type="dxa"/>
              <w:bottom w:w="0" w:type="dxa"/>
              <w:right w:w="28" w:type="dxa"/>
            </w:tcMar>
            <w:hideMark/>
          </w:tcPr>
          <w:p w14:paraId="223ADCBA" w14:textId="77777777" w:rsidR="0094182F" w:rsidRPr="00216239" w:rsidRDefault="0094182F" w:rsidP="00FF0F59">
            <w:pPr>
              <w:contextualSpacing/>
              <w:jc w:val="center"/>
              <w:rPr>
                <w:color w:val="auto"/>
                <w:lang w:val="kk-KZ" w:eastAsia="en-US"/>
              </w:rPr>
            </w:pPr>
            <w:r w:rsidRPr="00216239">
              <w:rPr>
                <w:color w:val="auto"/>
              </w:rPr>
              <w:t>2311</w:t>
            </w:r>
          </w:p>
        </w:tc>
        <w:tc>
          <w:tcPr>
            <w:tcW w:w="1276" w:type="dxa"/>
            <w:tcBorders>
              <w:top w:val="nil"/>
              <w:left w:val="nil"/>
              <w:bottom w:val="single" w:sz="4" w:space="0" w:color="auto"/>
              <w:right w:val="single" w:sz="4" w:space="0" w:color="auto"/>
            </w:tcBorders>
            <w:noWrap/>
            <w:tcMar>
              <w:top w:w="0" w:type="dxa"/>
              <w:left w:w="28" w:type="dxa"/>
              <w:bottom w:w="0" w:type="dxa"/>
              <w:right w:w="28" w:type="dxa"/>
            </w:tcMar>
            <w:hideMark/>
          </w:tcPr>
          <w:p w14:paraId="4732A0D7" w14:textId="77777777" w:rsidR="0094182F" w:rsidRPr="00216239" w:rsidRDefault="0094182F" w:rsidP="00FF0F59">
            <w:pPr>
              <w:contextualSpacing/>
              <w:jc w:val="center"/>
              <w:rPr>
                <w:color w:val="auto"/>
                <w:lang w:val="kk-KZ" w:eastAsia="en-US"/>
              </w:rPr>
            </w:pPr>
            <w:r w:rsidRPr="00216239">
              <w:rPr>
                <w:color w:val="auto"/>
              </w:rPr>
              <w:t>54</w:t>
            </w:r>
          </w:p>
        </w:tc>
        <w:tc>
          <w:tcPr>
            <w:tcW w:w="992" w:type="dxa"/>
            <w:tcBorders>
              <w:top w:val="nil"/>
              <w:left w:val="nil"/>
              <w:bottom w:val="single" w:sz="4" w:space="0" w:color="auto"/>
              <w:right w:val="single" w:sz="4" w:space="0" w:color="auto"/>
            </w:tcBorders>
            <w:noWrap/>
            <w:tcMar>
              <w:top w:w="0" w:type="dxa"/>
              <w:left w:w="28" w:type="dxa"/>
              <w:bottom w:w="0" w:type="dxa"/>
              <w:right w:w="28" w:type="dxa"/>
            </w:tcMar>
            <w:hideMark/>
          </w:tcPr>
          <w:p w14:paraId="7C5126B4" w14:textId="77777777" w:rsidR="0094182F" w:rsidRPr="00216239" w:rsidRDefault="0094182F" w:rsidP="00FF0F59">
            <w:pPr>
              <w:contextualSpacing/>
              <w:jc w:val="center"/>
              <w:rPr>
                <w:color w:val="auto"/>
                <w:lang w:val="kk-KZ" w:eastAsia="en-US"/>
              </w:rPr>
            </w:pPr>
            <w:r w:rsidRPr="00216239">
              <w:rPr>
                <w:color w:val="auto"/>
              </w:rPr>
              <w:t>30</w:t>
            </w:r>
          </w:p>
        </w:tc>
        <w:tc>
          <w:tcPr>
            <w:tcW w:w="1134" w:type="dxa"/>
            <w:tcBorders>
              <w:top w:val="nil"/>
              <w:left w:val="nil"/>
              <w:bottom w:val="single" w:sz="4" w:space="0" w:color="auto"/>
              <w:right w:val="single" w:sz="4" w:space="0" w:color="auto"/>
            </w:tcBorders>
            <w:noWrap/>
            <w:tcMar>
              <w:top w:w="0" w:type="dxa"/>
              <w:left w:w="28" w:type="dxa"/>
              <w:bottom w:w="0" w:type="dxa"/>
              <w:right w:w="28" w:type="dxa"/>
            </w:tcMar>
            <w:hideMark/>
          </w:tcPr>
          <w:p w14:paraId="5046B5FC" w14:textId="77777777" w:rsidR="0094182F" w:rsidRPr="00216239" w:rsidRDefault="0094182F" w:rsidP="00FF0F59">
            <w:pPr>
              <w:contextualSpacing/>
              <w:jc w:val="center"/>
              <w:rPr>
                <w:color w:val="auto"/>
                <w:lang w:val="kk-KZ" w:eastAsia="en-US"/>
              </w:rPr>
            </w:pPr>
            <w:r w:rsidRPr="00216239">
              <w:rPr>
                <w:color w:val="auto"/>
              </w:rPr>
              <w:t>4914</w:t>
            </w:r>
          </w:p>
        </w:tc>
      </w:tr>
      <w:tr w:rsidR="00216239" w:rsidRPr="00216239" w14:paraId="2DD65C25" w14:textId="77777777" w:rsidTr="00FF0F59">
        <w:trPr>
          <w:trHeight w:val="300"/>
        </w:trPr>
        <w:tc>
          <w:tcPr>
            <w:tcW w:w="445"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bottom"/>
            <w:hideMark/>
          </w:tcPr>
          <w:p w14:paraId="468746E9" w14:textId="77777777" w:rsidR="0094182F" w:rsidRPr="00216239" w:rsidRDefault="0094182F" w:rsidP="00FF0F59">
            <w:pPr>
              <w:contextualSpacing/>
              <w:jc w:val="center"/>
              <w:rPr>
                <w:color w:val="auto"/>
                <w:lang w:val="kk-KZ"/>
              </w:rPr>
            </w:pPr>
            <w:r w:rsidRPr="00216239">
              <w:rPr>
                <w:color w:val="auto"/>
              </w:rPr>
              <w:t>3</w:t>
            </w:r>
          </w:p>
        </w:tc>
        <w:tc>
          <w:tcPr>
            <w:tcW w:w="2009" w:type="dxa"/>
            <w:tcBorders>
              <w:top w:val="nil"/>
              <w:left w:val="nil"/>
              <w:bottom w:val="single" w:sz="4" w:space="0" w:color="auto"/>
              <w:right w:val="single" w:sz="4" w:space="0" w:color="auto"/>
            </w:tcBorders>
            <w:noWrap/>
            <w:tcMar>
              <w:top w:w="0" w:type="dxa"/>
              <w:left w:w="28" w:type="dxa"/>
              <w:bottom w:w="0" w:type="dxa"/>
              <w:right w:w="28" w:type="dxa"/>
            </w:tcMar>
            <w:hideMark/>
          </w:tcPr>
          <w:p w14:paraId="4EB841EB" w14:textId="77777777" w:rsidR="0094182F" w:rsidRPr="00216239" w:rsidRDefault="0094182F" w:rsidP="00FF0F59">
            <w:pPr>
              <w:contextualSpacing/>
              <w:jc w:val="center"/>
              <w:rPr>
                <w:color w:val="auto"/>
                <w:lang w:val="kk-KZ"/>
              </w:rPr>
            </w:pPr>
            <w:r w:rsidRPr="00216239">
              <w:rPr>
                <w:color w:val="auto"/>
              </w:rPr>
              <w:t>Алматинская</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hideMark/>
          </w:tcPr>
          <w:p w14:paraId="0DC5B615" w14:textId="77777777" w:rsidR="0094182F" w:rsidRPr="00216239" w:rsidRDefault="0094182F" w:rsidP="00FF0F59">
            <w:pPr>
              <w:contextualSpacing/>
              <w:jc w:val="center"/>
              <w:rPr>
                <w:color w:val="auto"/>
                <w:lang w:val="kk-KZ" w:eastAsia="en-US"/>
              </w:rPr>
            </w:pPr>
            <w:r w:rsidRPr="00216239">
              <w:rPr>
                <w:color w:val="auto"/>
              </w:rPr>
              <w:t>120 082,00</w:t>
            </w:r>
          </w:p>
        </w:tc>
        <w:tc>
          <w:tcPr>
            <w:tcW w:w="993" w:type="dxa"/>
            <w:tcBorders>
              <w:top w:val="nil"/>
              <w:left w:val="nil"/>
              <w:bottom w:val="single" w:sz="4" w:space="0" w:color="auto"/>
              <w:right w:val="single" w:sz="4" w:space="0" w:color="auto"/>
            </w:tcBorders>
            <w:noWrap/>
            <w:tcMar>
              <w:top w:w="0" w:type="dxa"/>
              <w:left w:w="28" w:type="dxa"/>
              <w:bottom w:w="0" w:type="dxa"/>
              <w:right w:w="28" w:type="dxa"/>
            </w:tcMar>
            <w:hideMark/>
          </w:tcPr>
          <w:p w14:paraId="74E6F1B5" w14:textId="77777777" w:rsidR="0094182F" w:rsidRPr="00216239" w:rsidRDefault="0094182F" w:rsidP="00FF0F59">
            <w:pPr>
              <w:contextualSpacing/>
              <w:jc w:val="center"/>
              <w:rPr>
                <w:color w:val="auto"/>
                <w:lang w:val="kk-KZ" w:eastAsia="en-US"/>
              </w:rPr>
            </w:pPr>
            <w:r w:rsidRPr="00216239">
              <w:rPr>
                <w:color w:val="auto"/>
              </w:rPr>
              <w:t>5,0%</w:t>
            </w:r>
          </w:p>
        </w:tc>
        <w:tc>
          <w:tcPr>
            <w:tcW w:w="1275" w:type="dxa"/>
            <w:tcBorders>
              <w:top w:val="nil"/>
              <w:left w:val="nil"/>
              <w:bottom w:val="single" w:sz="4" w:space="0" w:color="auto"/>
              <w:right w:val="single" w:sz="4" w:space="0" w:color="auto"/>
            </w:tcBorders>
            <w:noWrap/>
            <w:tcMar>
              <w:top w:w="0" w:type="dxa"/>
              <w:left w:w="28" w:type="dxa"/>
              <w:bottom w:w="0" w:type="dxa"/>
              <w:right w:w="28" w:type="dxa"/>
            </w:tcMar>
            <w:hideMark/>
          </w:tcPr>
          <w:p w14:paraId="5AD3A1CA" w14:textId="77777777" w:rsidR="0094182F" w:rsidRPr="00216239" w:rsidRDefault="0094182F" w:rsidP="00FF0F59">
            <w:pPr>
              <w:contextualSpacing/>
              <w:jc w:val="center"/>
              <w:rPr>
                <w:color w:val="auto"/>
                <w:lang w:val="kk-KZ" w:eastAsia="en-US"/>
              </w:rPr>
            </w:pPr>
            <w:r w:rsidRPr="00216239">
              <w:rPr>
                <w:color w:val="auto"/>
              </w:rPr>
              <w:t>9823</w:t>
            </w:r>
          </w:p>
        </w:tc>
        <w:tc>
          <w:tcPr>
            <w:tcW w:w="1276" w:type="dxa"/>
            <w:tcBorders>
              <w:top w:val="nil"/>
              <w:left w:val="nil"/>
              <w:bottom w:val="single" w:sz="4" w:space="0" w:color="auto"/>
              <w:right w:val="single" w:sz="4" w:space="0" w:color="auto"/>
            </w:tcBorders>
            <w:noWrap/>
            <w:tcMar>
              <w:top w:w="0" w:type="dxa"/>
              <w:left w:w="28" w:type="dxa"/>
              <w:bottom w:w="0" w:type="dxa"/>
              <w:right w:w="28" w:type="dxa"/>
            </w:tcMar>
            <w:hideMark/>
          </w:tcPr>
          <w:p w14:paraId="03F2B819" w14:textId="77777777" w:rsidR="0094182F" w:rsidRPr="00216239" w:rsidRDefault="0094182F" w:rsidP="00FF0F59">
            <w:pPr>
              <w:contextualSpacing/>
              <w:jc w:val="center"/>
              <w:rPr>
                <w:color w:val="auto"/>
                <w:lang w:val="kk-KZ" w:eastAsia="en-US"/>
              </w:rPr>
            </w:pPr>
            <w:r w:rsidRPr="00216239">
              <w:rPr>
                <w:color w:val="auto"/>
              </w:rPr>
              <w:t>12</w:t>
            </w:r>
          </w:p>
        </w:tc>
        <w:tc>
          <w:tcPr>
            <w:tcW w:w="992" w:type="dxa"/>
            <w:tcBorders>
              <w:top w:val="nil"/>
              <w:left w:val="nil"/>
              <w:bottom w:val="single" w:sz="4" w:space="0" w:color="auto"/>
              <w:right w:val="single" w:sz="4" w:space="0" w:color="auto"/>
            </w:tcBorders>
            <w:noWrap/>
            <w:tcMar>
              <w:top w:w="0" w:type="dxa"/>
              <w:left w:w="28" w:type="dxa"/>
              <w:bottom w:w="0" w:type="dxa"/>
              <w:right w:w="28" w:type="dxa"/>
            </w:tcMar>
            <w:hideMark/>
          </w:tcPr>
          <w:p w14:paraId="118D5846" w14:textId="77777777" w:rsidR="0094182F" w:rsidRPr="00216239" w:rsidRDefault="0094182F" w:rsidP="00FF0F59">
            <w:pPr>
              <w:contextualSpacing/>
              <w:jc w:val="center"/>
              <w:rPr>
                <w:color w:val="auto"/>
                <w:lang w:val="kk-KZ" w:eastAsia="en-US"/>
              </w:rPr>
            </w:pPr>
            <w:r w:rsidRPr="00216239">
              <w:rPr>
                <w:color w:val="auto"/>
              </w:rPr>
              <w:t>40</w:t>
            </w:r>
          </w:p>
        </w:tc>
        <w:tc>
          <w:tcPr>
            <w:tcW w:w="1134" w:type="dxa"/>
            <w:tcBorders>
              <w:top w:val="nil"/>
              <w:left w:val="nil"/>
              <w:bottom w:val="single" w:sz="4" w:space="0" w:color="auto"/>
              <w:right w:val="single" w:sz="4" w:space="0" w:color="auto"/>
            </w:tcBorders>
            <w:noWrap/>
            <w:tcMar>
              <w:top w:w="0" w:type="dxa"/>
              <w:left w:w="28" w:type="dxa"/>
              <w:bottom w:w="0" w:type="dxa"/>
              <w:right w:w="28" w:type="dxa"/>
            </w:tcMar>
            <w:hideMark/>
          </w:tcPr>
          <w:p w14:paraId="768029F4" w14:textId="77777777" w:rsidR="0094182F" w:rsidRPr="00216239" w:rsidRDefault="0094182F" w:rsidP="00FF0F59">
            <w:pPr>
              <w:contextualSpacing/>
              <w:jc w:val="center"/>
              <w:rPr>
                <w:color w:val="auto"/>
                <w:lang w:val="kk-KZ" w:eastAsia="en-US"/>
              </w:rPr>
            </w:pPr>
            <w:r w:rsidRPr="00216239">
              <w:rPr>
                <w:color w:val="auto"/>
              </w:rPr>
              <w:t>7544</w:t>
            </w:r>
          </w:p>
        </w:tc>
      </w:tr>
      <w:tr w:rsidR="00216239" w:rsidRPr="00216239" w14:paraId="64972814" w14:textId="77777777" w:rsidTr="00FF0F59">
        <w:trPr>
          <w:trHeight w:val="300"/>
        </w:trPr>
        <w:tc>
          <w:tcPr>
            <w:tcW w:w="445"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bottom"/>
            <w:hideMark/>
          </w:tcPr>
          <w:p w14:paraId="1399BD81" w14:textId="77777777" w:rsidR="0094182F" w:rsidRPr="00216239" w:rsidRDefault="0094182F" w:rsidP="00FF0F59">
            <w:pPr>
              <w:contextualSpacing/>
              <w:jc w:val="center"/>
              <w:rPr>
                <w:color w:val="auto"/>
                <w:lang w:val="kk-KZ"/>
              </w:rPr>
            </w:pPr>
            <w:r w:rsidRPr="00216239">
              <w:rPr>
                <w:color w:val="auto"/>
              </w:rPr>
              <w:t>4</w:t>
            </w:r>
          </w:p>
        </w:tc>
        <w:tc>
          <w:tcPr>
            <w:tcW w:w="2009" w:type="dxa"/>
            <w:tcBorders>
              <w:top w:val="nil"/>
              <w:left w:val="nil"/>
              <w:bottom w:val="single" w:sz="4" w:space="0" w:color="auto"/>
              <w:right w:val="single" w:sz="4" w:space="0" w:color="auto"/>
            </w:tcBorders>
            <w:noWrap/>
            <w:tcMar>
              <w:top w:w="0" w:type="dxa"/>
              <w:left w:w="28" w:type="dxa"/>
              <w:bottom w:w="0" w:type="dxa"/>
              <w:right w:w="28" w:type="dxa"/>
            </w:tcMar>
            <w:hideMark/>
          </w:tcPr>
          <w:p w14:paraId="0C07AAF9" w14:textId="77777777" w:rsidR="0094182F" w:rsidRPr="00216239" w:rsidRDefault="0094182F" w:rsidP="00FF0F59">
            <w:pPr>
              <w:contextualSpacing/>
              <w:jc w:val="center"/>
              <w:rPr>
                <w:color w:val="auto"/>
                <w:lang w:val="kk-KZ"/>
              </w:rPr>
            </w:pPr>
            <w:r w:rsidRPr="00216239">
              <w:rPr>
                <w:color w:val="auto"/>
              </w:rPr>
              <w:t>Атырауская</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hideMark/>
          </w:tcPr>
          <w:p w14:paraId="1D36D346" w14:textId="77777777" w:rsidR="0094182F" w:rsidRPr="00216239" w:rsidRDefault="0094182F" w:rsidP="00FF0F59">
            <w:pPr>
              <w:contextualSpacing/>
              <w:jc w:val="center"/>
              <w:rPr>
                <w:color w:val="auto"/>
                <w:lang w:val="kk-KZ" w:eastAsia="en-US"/>
              </w:rPr>
            </w:pPr>
            <w:r w:rsidRPr="00216239">
              <w:rPr>
                <w:color w:val="auto"/>
              </w:rPr>
              <w:t>74 072,00</w:t>
            </w:r>
          </w:p>
        </w:tc>
        <w:tc>
          <w:tcPr>
            <w:tcW w:w="993" w:type="dxa"/>
            <w:tcBorders>
              <w:top w:val="nil"/>
              <w:left w:val="nil"/>
              <w:bottom w:val="single" w:sz="4" w:space="0" w:color="auto"/>
              <w:right w:val="single" w:sz="4" w:space="0" w:color="auto"/>
            </w:tcBorders>
            <w:noWrap/>
            <w:tcMar>
              <w:top w:w="0" w:type="dxa"/>
              <w:left w:w="28" w:type="dxa"/>
              <w:bottom w:w="0" w:type="dxa"/>
              <w:right w:w="28" w:type="dxa"/>
            </w:tcMar>
            <w:hideMark/>
          </w:tcPr>
          <w:p w14:paraId="5B53DC7A" w14:textId="77777777" w:rsidR="0094182F" w:rsidRPr="00216239" w:rsidRDefault="0094182F" w:rsidP="00FF0F59">
            <w:pPr>
              <w:contextualSpacing/>
              <w:jc w:val="center"/>
              <w:rPr>
                <w:color w:val="auto"/>
                <w:lang w:val="kk-KZ" w:eastAsia="en-US"/>
              </w:rPr>
            </w:pPr>
            <w:r w:rsidRPr="00216239">
              <w:rPr>
                <w:color w:val="auto"/>
              </w:rPr>
              <w:t>3,1%</w:t>
            </w:r>
          </w:p>
        </w:tc>
        <w:tc>
          <w:tcPr>
            <w:tcW w:w="1275" w:type="dxa"/>
            <w:tcBorders>
              <w:top w:val="nil"/>
              <w:left w:val="nil"/>
              <w:bottom w:val="single" w:sz="4" w:space="0" w:color="auto"/>
              <w:right w:val="single" w:sz="4" w:space="0" w:color="auto"/>
            </w:tcBorders>
            <w:noWrap/>
            <w:tcMar>
              <w:top w:w="0" w:type="dxa"/>
              <w:left w:w="28" w:type="dxa"/>
              <w:bottom w:w="0" w:type="dxa"/>
              <w:right w:w="28" w:type="dxa"/>
            </w:tcMar>
            <w:hideMark/>
          </w:tcPr>
          <w:p w14:paraId="3B3E0911" w14:textId="77777777" w:rsidR="0094182F" w:rsidRPr="00216239" w:rsidRDefault="0094182F" w:rsidP="00FF0F59">
            <w:pPr>
              <w:contextualSpacing/>
              <w:jc w:val="center"/>
              <w:rPr>
                <w:color w:val="auto"/>
                <w:lang w:val="kk-KZ" w:eastAsia="en-US"/>
              </w:rPr>
            </w:pPr>
            <w:r w:rsidRPr="00216239">
              <w:rPr>
                <w:color w:val="auto"/>
              </w:rPr>
              <w:t>1079</w:t>
            </w:r>
          </w:p>
        </w:tc>
        <w:tc>
          <w:tcPr>
            <w:tcW w:w="1276" w:type="dxa"/>
            <w:tcBorders>
              <w:top w:val="nil"/>
              <w:left w:val="nil"/>
              <w:bottom w:val="single" w:sz="4" w:space="0" w:color="auto"/>
              <w:right w:val="single" w:sz="4" w:space="0" w:color="auto"/>
            </w:tcBorders>
            <w:noWrap/>
            <w:tcMar>
              <w:top w:w="0" w:type="dxa"/>
              <w:left w:w="28" w:type="dxa"/>
              <w:bottom w:w="0" w:type="dxa"/>
              <w:right w:w="28" w:type="dxa"/>
            </w:tcMar>
            <w:hideMark/>
          </w:tcPr>
          <w:p w14:paraId="55EE955C" w14:textId="77777777" w:rsidR="0094182F" w:rsidRPr="00216239" w:rsidRDefault="0094182F" w:rsidP="00FF0F59">
            <w:pPr>
              <w:contextualSpacing/>
              <w:jc w:val="center"/>
              <w:rPr>
                <w:color w:val="auto"/>
                <w:lang w:val="kk-KZ" w:eastAsia="en-US"/>
              </w:rPr>
            </w:pPr>
            <w:r w:rsidRPr="00216239">
              <w:rPr>
                <w:color w:val="auto"/>
              </w:rPr>
              <w:t>69</w:t>
            </w:r>
          </w:p>
        </w:tc>
        <w:tc>
          <w:tcPr>
            <w:tcW w:w="992" w:type="dxa"/>
            <w:tcBorders>
              <w:top w:val="nil"/>
              <w:left w:val="nil"/>
              <w:bottom w:val="single" w:sz="4" w:space="0" w:color="auto"/>
              <w:right w:val="single" w:sz="4" w:space="0" w:color="auto"/>
            </w:tcBorders>
            <w:noWrap/>
            <w:tcMar>
              <w:top w:w="0" w:type="dxa"/>
              <w:left w:w="28" w:type="dxa"/>
              <w:bottom w:w="0" w:type="dxa"/>
              <w:right w:w="28" w:type="dxa"/>
            </w:tcMar>
            <w:hideMark/>
          </w:tcPr>
          <w:p w14:paraId="3CE4CF80" w14:textId="77777777" w:rsidR="0094182F" w:rsidRPr="00216239" w:rsidRDefault="0094182F" w:rsidP="00FF0F59">
            <w:pPr>
              <w:contextualSpacing/>
              <w:jc w:val="center"/>
              <w:rPr>
                <w:color w:val="auto"/>
                <w:lang w:val="kk-KZ" w:eastAsia="en-US"/>
              </w:rPr>
            </w:pPr>
            <w:r w:rsidRPr="00216239">
              <w:rPr>
                <w:color w:val="auto"/>
              </w:rPr>
              <w:t>38</w:t>
            </w:r>
          </w:p>
        </w:tc>
        <w:tc>
          <w:tcPr>
            <w:tcW w:w="1134" w:type="dxa"/>
            <w:tcBorders>
              <w:top w:val="nil"/>
              <w:left w:val="nil"/>
              <w:bottom w:val="single" w:sz="4" w:space="0" w:color="auto"/>
              <w:right w:val="single" w:sz="4" w:space="0" w:color="auto"/>
            </w:tcBorders>
            <w:noWrap/>
            <w:tcMar>
              <w:top w:w="0" w:type="dxa"/>
              <w:left w:w="28" w:type="dxa"/>
              <w:bottom w:w="0" w:type="dxa"/>
              <w:right w:w="28" w:type="dxa"/>
            </w:tcMar>
            <w:hideMark/>
          </w:tcPr>
          <w:p w14:paraId="30F93C9D" w14:textId="77777777" w:rsidR="0094182F" w:rsidRPr="00216239" w:rsidRDefault="0094182F" w:rsidP="00FF0F59">
            <w:pPr>
              <w:contextualSpacing/>
              <w:jc w:val="center"/>
              <w:rPr>
                <w:color w:val="auto"/>
                <w:lang w:val="kk-KZ" w:eastAsia="en-US"/>
              </w:rPr>
            </w:pPr>
            <w:r w:rsidRPr="00216239">
              <w:rPr>
                <w:color w:val="auto"/>
              </w:rPr>
              <w:t>2888</w:t>
            </w:r>
          </w:p>
        </w:tc>
      </w:tr>
      <w:tr w:rsidR="00216239" w:rsidRPr="00216239" w14:paraId="13D9C008" w14:textId="77777777" w:rsidTr="00FF0F59">
        <w:trPr>
          <w:trHeight w:val="300"/>
        </w:trPr>
        <w:tc>
          <w:tcPr>
            <w:tcW w:w="445"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bottom"/>
            <w:hideMark/>
          </w:tcPr>
          <w:p w14:paraId="15E96754" w14:textId="77777777" w:rsidR="0094182F" w:rsidRPr="00216239" w:rsidRDefault="0094182F" w:rsidP="00FF0F59">
            <w:pPr>
              <w:contextualSpacing/>
              <w:jc w:val="center"/>
              <w:rPr>
                <w:color w:val="auto"/>
                <w:lang w:val="kk-KZ"/>
              </w:rPr>
            </w:pPr>
            <w:r w:rsidRPr="00216239">
              <w:rPr>
                <w:color w:val="auto"/>
              </w:rPr>
              <w:t>5</w:t>
            </w:r>
          </w:p>
        </w:tc>
        <w:tc>
          <w:tcPr>
            <w:tcW w:w="2009" w:type="dxa"/>
            <w:tcBorders>
              <w:top w:val="nil"/>
              <w:left w:val="nil"/>
              <w:bottom w:val="single" w:sz="4" w:space="0" w:color="auto"/>
              <w:right w:val="single" w:sz="4" w:space="0" w:color="auto"/>
            </w:tcBorders>
            <w:noWrap/>
            <w:tcMar>
              <w:top w:w="0" w:type="dxa"/>
              <w:left w:w="28" w:type="dxa"/>
              <w:bottom w:w="0" w:type="dxa"/>
              <w:right w:w="28" w:type="dxa"/>
            </w:tcMar>
            <w:hideMark/>
          </w:tcPr>
          <w:p w14:paraId="362DAFBF" w14:textId="77777777" w:rsidR="0094182F" w:rsidRPr="00216239" w:rsidRDefault="0094182F" w:rsidP="00FF0F59">
            <w:pPr>
              <w:contextualSpacing/>
              <w:jc w:val="center"/>
              <w:rPr>
                <w:color w:val="auto"/>
                <w:lang w:val="kk-KZ"/>
              </w:rPr>
            </w:pPr>
            <w:r w:rsidRPr="00216239">
              <w:rPr>
                <w:color w:val="auto"/>
              </w:rPr>
              <w:t>ВКО</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hideMark/>
          </w:tcPr>
          <w:p w14:paraId="11BC0F00" w14:textId="77777777" w:rsidR="0094182F" w:rsidRPr="00216239" w:rsidRDefault="0094182F" w:rsidP="00FF0F59">
            <w:pPr>
              <w:contextualSpacing/>
              <w:jc w:val="center"/>
              <w:rPr>
                <w:color w:val="auto"/>
                <w:lang w:val="kk-KZ" w:eastAsia="en-US"/>
              </w:rPr>
            </w:pPr>
            <w:r w:rsidRPr="00216239">
              <w:rPr>
                <w:color w:val="auto"/>
              </w:rPr>
              <w:t>175 537,00</w:t>
            </w:r>
          </w:p>
        </w:tc>
        <w:tc>
          <w:tcPr>
            <w:tcW w:w="993" w:type="dxa"/>
            <w:tcBorders>
              <w:top w:val="nil"/>
              <w:left w:val="nil"/>
              <w:bottom w:val="single" w:sz="4" w:space="0" w:color="auto"/>
              <w:right w:val="single" w:sz="4" w:space="0" w:color="auto"/>
            </w:tcBorders>
            <w:noWrap/>
            <w:tcMar>
              <w:top w:w="0" w:type="dxa"/>
              <w:left w:w="28" w:type="dxa"/>
              <w:bottom w:w="0" w:type="dxa"/>
              <w:right w:w="28" w:type="dxa"/>
            </w:tcMar>
            <w:hideMark/>
          </w:tcPr>
          <w:p w14:paraId="769839F4" w14:textId="77777777" w:rsidR="0094182F" w:rsidRPr="00216239" w:rsidRDefault="0094182F" w:rsidP="00FF0F59">
            <w:pPr>
              <w:contextualSpacing/>
              <w:jc w:val="center"/>
              <w:rPr>
                <w:color w:val="auto"/>
                <w:lang w:val="kk-KZ" w:eastAsia="en-US"/>
              </w:rPr>
            </w:pPr>
            <w:r w:rsidRPr="00216239">
              <w:rPr>
                <w:color w:val="auto"/>
              </w:rPr>
              <w:t>7,4%</w:t>
            </w:r>
          </w:p>
        </w:tc>
        <w:tc>
          <w:tcPr>
            <w:tcW w:w="1275" w:type="dxa"/>
            <w:tcBorders>
              <w:top w:val="nil"/>
              <w:left w:val="nil"/>
              <w:bottom w:val="single" w:sz="4" w:space="0" w:color="auto"/>
              <w:right w:val="single" w:sz="4" w:space="0" w:color="auto"/>
            </w:tcBorders>
            <w:noWrap/>
            <w:tcMar>
              <w:top w:w="0" w:type="dxa"/>
              <w:left w:w="28" w:type="dxa"/>
              <w:bottom w:w="0" w:type="dxa"/>
              <w:right w:w="28" w:type="dxa"/>
            </w:tcMar>
            <w:hideMark/>
          </w:tcPr>
          <w:p w14:paraId="48F4465E" w14:textId="77777777" w:rsidR="0094182F" w:rsidRPr="00216239" w:rsidRDefault="0094182F" w:rsidP="00FF0F59">
            <w:pPr>
              <w:contextualSpacing/>
              <w:jc w:val="center"/>
              <w:rPr>
                <w:color w:val="auto"/>
                <w:lang w:val="kk-KZ" w:eastAsia="en-US"/>
              </w:rPr>
            </w:pPr>
            <w:r w:rsidRPr="00216239">
              <w:rPr>
                <w:color w:val="auto"/>
              </w:rPr>
              <w:t>3569</w:t>
            </w:r>
          </w:p>
        </w:tc>
        <w:tc>
          <w:tcPr>
            <w:tcW w:w="1276" w:type="dxa"/>
            <w:tcBorders>
              <w:top w:val="nil"/>
              <w:left w:val="nil"/>
              <w:bottom w:val="single" w:sz="4" w:space="0" w:color="auto"/>
              <w:right w:val="single" w:sz="4" w:space="0" w:color="auto"/>
            </w:tcBorders>
            <w:noWrap/>
            <w:tcMar>
              <w:top w:w="0" w:type="dxa"/>
              <w:left w:w="28" w:type="dxa"/>
              <w:bottom w:w="0" w:type="dxa"/>
              <w:right w:w="28" w:type="dxa"/>
            </w:tcMar>
            <w:hideMark/>
          </w:tcPr>
          <w:p w14:paraId="5E3C6062" w14:textId="77777777" w:rsidR="0094182F" w:rsidRPr="00216239" w:rsidRDefault="0094182F" w:rsidP="00FF0F59">
            <w:pPr>
              <w:contextualSpacing/>
              <w:jc w:val="center"/>
              <w:rPr>
                <w:color w:val="auto"/>
                <w:lang w:val="kk-KZ" w:eastAsia="en-US"/>
              </w:rPr>
            </w:pPr>
            <w:r w:rsidRPr="00216239">
              <w:rPr>
                <w:color w:val="auto"/>
              </w:rPr>
              <w:t>49</w:t>
            </w:r>
          </w:p>
        </w:tc>
        <w:tc>
          <w:tcPr>
            <w:tcW w:w="992" w:type="dxa"/>
            <w:tcBorders>
              <w:top w:val="nil"/>
              <w:left w:val="nil"/>
              <w:bottom w:val="single" w:sz="4" w:space="0" w:color="auto"/>
              <w:right w:val="single" w:sz="4" w:space="0" w:color="auto"/>
            </w:tcBorders>
            <w:noWrap/>
            <w:tcMar>
              <w:top w:w="0" w:type="dxa"/>
              <w:left w:w="28" w:type="dxa"/>
              <w:bottom w:w="0" w:type="dxa"/>
              <w:right w:w="28" w:type="dxa"/>
            </w:tcMar>
            <w:hideMark/>
          </w:tcPr>
          <w:p w14:paraId="4D4A8071" w14:textId="77777777" w:rsidR="0094182F" w:rsidRPr="00216239" w:rsidRDefault="0094182F" w:rsidP="00FF0F59">
            <w:pPr>
              <w:contextualSpacing/>
              <w:jc w:val="center"/>
              <w:rPr>
                <w:color w:val="auto"/>
                <w:lang w:val="kk-KZ" w:eastAsia="en-US"/>
              </w:rPr>
            </w:pPr>
            <w:r w:rsidRPr="00216239">
              <w:rPr>
                <w:color w:val="auto"/>
              </w:rPr>
              <w:t>31</w:t>
            </w:r>
          </w:p>
        </w:tc>
        <w:tc>
          <w:tcPr>
            <w:tcW w:w="1134" w:type="dxa"/>
            <w:tcBorders>
              <w:top w:val="nil"/>
              <w:left w:val="nil"/>
              <w:bottom w:val="single" w:sz="4" w:space="0" w:color="auto"/>
              <w:right w:val="single" w:sz="4" w:space="0" w:color="auto"/>
            </w:tcBorders>
            <w:noWrap/>
            <w:tcMar>
              <w:top w:w="0" w:type="dxa"/>
              <w:left w:w="28" w:type="dxa"/>
              <w:bottom w:w="0" w:type="dxa"/>
              <w:right w:w="28" w:type="dxa"/>
            </w:tcMar>
            <w:hideMark/>
          </w:tcPr>
          <w:p w14:paraId="3E2E5E05" w14:textId="77777777" w:rsidR="0094182F" w:rsidRPr="00216239" w:rsidRDefault="0094182F" w:rsidP="00FF0F59">
            <w:pPr>
              <w:contextualSpacing/>
              <w:jc w:val="center"/>
              <w:rPr>
                <w:color w:val="auto"/>
                <w:lang w:val="kk-KZ" w:eastAsia="en-US"/>
              </w:rPr>
            </w:pPr>
            <w:r w:rsidRPr="00216239">
              <w:rPr>
                <w:color w:val="auto"/>
              </w:rPr>
              <w:t>6643</w:t>
            </w:r>
          </w:p>
        </w:tc>
      </w:tr>
      <w:tr w:rsidR="00216239" w:rsidRPr="00216239" w14:paraId="1B4C7BDE" w14:textId="77777777" w:rsidTr="00FF0F59">
        <w:trPr>
          <w:trHeight w:val="300"/>
        </w:trPr>
        <w:tc>
          <w:tcPr>
            <w:tcW w:w="445"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bottom"/>
            <w:hideMark/>
          </w:tcPr>
          <w:p w14:paraId="23A8C10F" w14:textId="77777777" w:rsidR="0094182F" w:rsidRPr="00216239" w:rsidRDefault="0094182F" w:rsidP="00FF0F59">
            <w:pPr>
              <w:contextualSpacing/>
              <w:jc w:val="center"/>
              <w:rPr>
                <w:color w:val="auto"/>
                <w:lang w:val="kk-KZ"/>
              </w:rPr>
            </w:pPr>
            <w:r w:rsidRPr="00216239">
              <w:rPr>
                <w:color w:val="auto"/>
              </w:rPr>
              <w:t>6</w:t>
            </w:r>
          </w:p>
        </w:tc>
        <w:tc>
          <w:tcPr>
            <w:tcW w:w="2009" w:type="dxa"/>
            <w:tcBorders>
              <w:top w:val="nil"/>
              <w:left w:val="nil"/>
              <w:bottom w:val="single" w:sz="4" w:space="0" w:color="auto"/>
              <w:right w:val="single" w:sz="4" w:space="0" w:color="auto"/>
            </w:tcBorders>
            <w:noWrap/>
            <w:tcMar>
              <w:top w:w="0" w:type="dxa"/>
              <w:left w:w="28" w:type="dxa"/>
              <w:bottom w:w="0" w:type="dxa"/>
              <w:right w:w="28" w:type="dxa"/>
            </w:tcMar>
            <w:hideMark/>
          </w:tcPr>
          <w:p w14:paraId="1C03213C" w14:textId="77777777" w:rsidR="0094182F" w:rsidRPr="00216239" w:rsidRDefault="0094182F" w:rsidP="00FF0F59">
            <w:pPr>
              <w:contextualSpacing/>
              <w:jc w:val="center"/>
              <w:rPr>
                <w:color w:val="auto"/>
                <w:lang w:val="kk-KZ"/>
              </w:rPr>
            </w:pPr>
            <w:r w:rsidRPr="00216239">
              <w:rPr>
                <w:color w:val="auto"/>
              </w:rPr>
              <w:t>Жамбылская</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hideMark/>
          </w:tcPr>
          <w:p w14:paraId="3F1ECAE5" w14:textId="77777777" w:rsidR="0094182F" w:rsidRPr="00216239" w:rsidRDefault="0094182F" w:rsidP="00FF0F59">
            <w:pPr>
              <w:contextualSpacing/>
              <w:jc w:val="center"/>
              <w:rPr>
                <w:color w:val="auto"/>
                <w:lang w:val="kk-KZ" w:eastAsia="en-US"/>
              </w:rPr>
            </w:pPr>
            <w:r w:rsidRPr="00216239">
              <w:rPr>
                <w:color w:val="auto"/>
              </w:rPr>
              <w:t>81 124,00</w:t>
            </w:r>
          </w:p>
        </w:tc>
        <w:tc>
          <w:tcPr>
            <w:tcW w:w="993" w:type="dxa"/>
            <w:tcBorders>
              <w:top w:val="nil"/>
              <w:left w:val="nil"/>
              <w:bottom w:val="single" w:sz="4" w:space="0" w:color="auto"/>
              <w:right w:val="single" w:sz="4" w:space="0" w:color="auto"/>
            </w:tcBorders>
            <w:noWrap/>
            <w:tcMar>
              <w:top w:w="0" w:type="dxa"/>
              <w:left w:w="28" w:type="dxa"/>
              <w:bottom w:w="0" w:type="dxa"/>
              <w:right w:w="28" w:type="dxa"/>
            </w:tcMar>
            <w:hideMark/>
          </w:tcPr>
          <w:p w14:paraId="1B5A93B4" w14:textId="77777777" w:rsidR="0094182F" w:rsidRPr="00216239" w:rsidRDefault="0094182F" w:rsidP="00FF0F59">
            <w:pPr>
              <w:contextualSpacing/>
              <w:jc w:val="center"/>
              <w:rPr>
                <w:color w:val="auto"/>
                <w:lang w:val="kk-KZ" w:eastAsia="en-US"/>
              </w:rPr>
            </w:pPr>
            <w:r w:rsidRPr="00216239">
              <w:rPr>
                <w:color w:val="auto"/>
              </w:rPr>
              <w:t>3,4%</w:t>
            </w:r>
          </w:p>
        </w:tc>
        <w:tc>
          <w:tcPr>
            <w:tcW w:w="1275" w:type="dxa"/>
            <w:tcBorders>
              <w:top w:val="nil"/>
              <w:left w:val="nil"/>
              <w:bottom w:val="single" w:sz="4" w:space="0" w:color="auto"/>
              <w:right w:val="single" w:sz="4" w:space="0" w:color="auto"/>
            </w:tcBorders>
            <w:noWrap/>
            <w:tcMar>
              <w:top w:w="0" w:type="dxa"/>
              <w:left w:w="28" w:type="dxa"/>
              <w:bottom w:w="0" w:type="dxa"/>
              <w:right w:w="28" w:type="dxa"/>
            </w:tcMar>
            <w:hideMark/>
          </w:tcPr>
          <w:p w14:paraId="7CE11211" w14:textId="77777777" w:rsidR="0094182F" w:rsidRPr="00216239" w:rsidRDefault="0094182F" w:rsidP="00FF0F59">
            <w:pPr>
              <w:contextualSpacing/>
              <w:jc w:val="center"/>
              <w:rPr>
                <w:color w:val="auto"/>
                <w:lang w:val="kk-KZ" w:eastAsia="en-US"/>
              </w:rPr>
            </w:pPr>
            <w:r w:rsidRPr="00216239">
              <w:rPr>
                <w:color w:val="auto"/>
              </w:rPr>
              <w:t>9770</w:t>
            </w:r>
          </w:p>
        </w:tc>
        <w:tc>
          <w:tcPr>
            <w:tcW w:w="1276" w:type="dxa"/>
            <w:tcBorders>
              <w:top w:val="nil"/>
              <w:left w:val="nil"/>
              <w:bottom w:val="single" w:sz="4" w:space="0" w:color="auto"/>
              <w:right w:val="single" w:sz="4" w:space="0" w:color="auto"/>
            </w:tcBorders>
            <w:noWrap/>
            <w:tcMar>
              <w:top w:w="0" w:type="dxa"/>
              <w:left w:w="28" w:type="dxa"/>
              <w:bottom w:w="0" w:type="dxa"/>
              <w:right w:w="28" w:type="dxa"/>
            </w:tcMar>
            <w:hideMark/>
          </w:tcPr>
          <w:p w14:paraId="617F006C" w14:textId="77777777" w:rsidR="0094182F" w:rsidRPr="00216239" w:rsidRDefault="0094182F" w:rsidP="00FF0F59">
            <w:pPr>
              <w:contextualSpacing/>
              <w:jc w:val="center"/>
              <w:rPr>
                <w:color w:val="auto"/>
                <w:lang w:val="kk-KZ" w:eastAsia="en-US"/>
              </w:rPr>
            </w:pPr>
            <w:r w:rsidRPr="00216239">
              <w:rPr>
                <w:color w:val="auto"/>
              </w:rPr>
              <w:t>8</w:t>
            </w:r>
          </w:p>
        </w:tc>
        <w:tc>
          <w:tcPr>
            <w:tcW w:w="992" w:type="dxa"/>
            <w:tcBorders>
              <w:top w:val="nil"/>
              <w:left w:val="nil"/>
              <w:bottom w:val="single" w:sz="4" w:space="0" w:color="auto"/>
              <w:right w:val="single" w:sz="4" w:space="0" w:color="auto"/>
            </w:tcBorders>
            <w:noWrap/>
            <w:tcMar>
              <w:top w:w="0" w:type="dxa"/>
              <w:left w:w="28" w:type="dxa"/>
              <w:bottom w:w="0" w:type="dxa"/>
              <w:right w:w="28" w:type="dxa"/>
            </w:tcMar>
            <w:hideMark/>
          </w:tcPr>
          <w:p w14:paraId="60401EF3" w14:textId="77777777" w:rsidR="0094182F" w:rsidRPr="00216239" w:rsidRDefault="0094182F" w:rsidP="00FF0F59">
            <w:pPr>
              <w:contextualSpacing/>
              <w:jc w:val="center"/>
              <w:rPr>
                <w:color w:val="auto"/>
                <w:lang w:val="kk-KZ" w:eastAsia="en-US"/>
              </w:rPr>
            </w:pPr>
            <w:r w:rsidRPr="00216239">
              <w:rPr>
                <w:color w:val="auto"/>
              </w:rPr>
              <w:t>40</w:t>
            </w:r>
          </w:p>
        </w:tc>
        <w:tc>
          <w:tcPr>
            <w:tcW w:w="1134" w:type="dxa"/>
            <w:tcBorders>
              <w:top w:val="nil"/>
              <w:left w:val="nil"/>
              <w:bottom w:val="single" w:sz="4" w:space="0" w:color="auto"/>
              <w:right w:val="single" w:sz="4" w:space="0" w:color="auto"/>
            </w:tcBorders>
            <w:noWrap/>
            <w:tcMar>
              <w:top w:w="0" w:type="dxa"/>
              <w:left w:w="28" w:type="dxa"/>
              <w:bottom w:w="0" w:type="dxa"/>
              <w:right w:w="28" w:type="dxa"/>
            </w:tcMar>
            <w:hideMark/>
          </w:tcPr>
          <w:p w14:paraId="16F049D0" w14:textId="77777777" w:rsidR="0094182F" w:rsidRPr="00216239" w:rsidRDefault="0094182F" w:rsidP="00FF0F59">
            <w:pPr>
              <w:contextualSpacing/>
              <w:jc w:val="center"/>
              <w:rPr>
                <w:color w:val="auto"/>
                <w:lang w:val="kk-KZ" w:eastAsia="en-US"/>
              </w:rPr>
            </w:pPr>
            <w:r w:rsidRPr="00216239">
              <w:rPr>
                <w:color w:val="auto"/>
              </w:rPr>
              <w:t>4601</w:t>
            </w:r>
          </w:p>
        </w:tc>
      </w:tr>
      <w:tr w:rsidR="00216239" w:rsidRPr="00216239" w14:paraId="0793A28E" w14:textId="77777777" w:rsidTr="00FF0F59">
        <w:trPr>
          <w:trHeight w:val="300"/>
        </w:trPr>
        <w:tc>
          <w:tcPr>
            <w:tcW w:w="445"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bottom"/>
            <w:hideMark/>
          </w:tcPr>
          <w:p w14:paraId="6038BC2D" w14:textId="77777777" w:rsidR="0094182F" w:rsidRPr="00216239" w:rsidRDefault="0094182F" w:rsidP="00FF0F59">
            <w:pPr>
              <w:contextualSpacing/>
              <w:jc w:val="center"/>
              <w:rPr>
                <w:color w:val="auto"/>
                <w:lang w:val="kk-KZ"/>
              </w:rPr>
            </w:pPr>
            <w:r w:rsidRPr="00216239">
              <w:rPr>
                <w:color w:val="auto"/>
              </w:rPr>
              <w:t>7</w:t>
            </w:r>
          </w:p>
        </w:tc>
        <w:tc>
          <w:tcPr>
            <w:tcW w:w="2009" w:type="dxa"/>
            <w:tcBorders>
              <w:top w:val="nil"/>
              <w:left w:val="nil"/>
              <w:bottom w:val="single" w:sz="4" w:space="0" w:color="auto"/>
              <w:right w:val="single" w:sz="4" w:space="0" w:color="auto"/>
            </w:tcBorders>
            <w:noWrap/>
            <w:tcMar>
              <w:top w:w="0" w:type="dxa"/>
              <w:left w:w="28" w:type="dxa"/>
              <w:bottom w:w="0" w:type="dxa"/>
              <w:right w:w="28" w:type="dxa"/>
            </w:tcMar>
            <w:hideMark/>
          </w:tcPr>
          <w:p w14:paraId="7B9803F4" w14:textId="77777777" w:rsidR="0094182F" w:rsidRPr="00216239" w:rsidRDefault="0094182F" w:rsidP="00FF0F59">
            <w:pPr>
              <w:contextualSpacing/>
              <w:jc w:val="center"/>
              <w:rPr>
                <w:color w:val="auto"/>
                <w:lang w:val="kk-KZ"/>
              </w:rPr>
            </w:pPr>
            <w:r w:rsidRPr="00216239">
              <w:rPr>
                <w:color w:val="auto"/>
              </w:rPr>
              <w:t>ЗКО</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hideMark/>
          </w:tcPr>
          <w:p w14:paraId="11DCA047" w14:textId="77777777" w:rsidR="0094182F" w:rsidRPr="00216239" w:rsidRDefault="0094182F" w:rsidP="00FF0F59">
            <w:pPr>
              <w:contextualSpacing/>
              <w:jc w:val="center"/>
              <w:rPr>
                <w:color w:val="auto"/>
                <w:lang w:val="kk-KZ" w:eastAsia="en-US"/>
              </w:rPr>
            </w:pPr>
            <w:r w:rsidRPr="00216239">
              <w:rPr>
                <w:color w:val="auto"/>
              </w:rPr>
              <w:t>105 569,00</w:t>
            </w:r>
          </w:p>
        </w:tc>
        <w:tc>
          <w:tcPr>
            <w:tcW w:w="993" w:type="dxa"/>
            <w:tcBorders>
              <w:top w:val="nil"/>
              <w:left w:val="nil"/>
              <w:bottom w:val="single" w:sz="4" w:space="0" w:color="auto"/>
              <w:right w:val="single" w:sz="4" w:space="0" w:color="auto"/>
            </w:tcBorders>
            <w:noWrap/>
            <w:tcMar>
              <w:top w:w="0" w:type="dxa"/>
              <w:left w:w="28" w:type="dxa"/>
              <w:bottom w:w="0" w:type="dxa"/>
              <w:right w:w="28" w:type="dxa"/>
            </w:tcMar>
            <w:hideMark/>
          </w:tcPr>
          <w:p w14:paraId="57FD885A" w14:textId="77777777" w:rsidR="0094182F" w:rsidRPr="00216239" w:rsidRDefault="0094182F" w:rsidP="00FF0F59">
            <w:pPr>
              <w:contextualSpacing/>
              <w:jc w:val="center"/>
              <w:rPr>
                <w:color w:val="auto"/>
                <w:lang w:val="kk-KZ" w:eastAsia="en-US"/>
              </w:rPr>
            </w:pPr>
            <w:r w:rsidRPr="00216239">
              <w:rPr>
                <w:color w:val="auto"/>
              </w:rPr>
              <w:t>4,4%</w:t>
            </w:r>
          </w:p>
        </w:tc>
        <w:tc>
          <w:tcPr>
            <w:tcW w:w="1275" w:type="dxa"/>
            <w:tcBorders>
              <w:top w:val="nil"/>
              <w:left w:val="nil"/>
              <w:bottom w:val="single" w:sz="4" w:space="0" w:color="auto"/>
              <w:right w:val="single" w:sz="4" w:space="0" w:color="auto"/>
            </w:tcBorders>
            <w:noWrap/>
            <w:tcMar>
              <w:top w:w="0" w:type="dxa"/>
              <w:left w:w="28" w:type="dxa"/>
              <w:bottom w:w="0" w:type="dxa"/>
              <w:right w:w="28" w:type="dxa"/>
            </w:tcMar>
            <w:hideMark/>
          </w:tcPr>
          <w:p w14:paraId="3464C641" w14:textId="77777777" w:rsidR="0094182F" w:rsidRPr="00216239" w:rsidRDefault="0094182F" w:rsidP="00FF0F59">
            <w:pPr>
              <w:contextualSpacing/>
              <w:jc w:val="center"/>
              <w:rPr>
                <w:color w:val="auto"/>
                <w:lang w:val="kk-KZ" w:eastAsia="en-US"/>
              </w:rPr>
            </w:pPr>
            <w:r w:rsidRPr="00216239">
              <w:rPr>
                <w:color w:val="auto"/>
              </w:rPr>
              <w:t>1411</w:t>
            </w:r>
          </w:p>
        </w:tc>
        <w:tc>
          <w:tcPr>
            <w:tcW w:w="1276" w:type="dxa"/>
            <w:tcBorders>
              <w:top w:val="nil"/>
              <w:left w:val="nil"/>
              <w:bottom w:val="single" w:sz="4" w:space="0" w:color="auto"/>
              <w:right w:val="single" w:sz="4" w:space="0" w:color="auto"/>
            </w:tcBorders>
            <w:noWrap/>
            <w:tcMar>
              <w:top w:w="0" w:type="dxa"/>
              <w:left w:w="28" w:type="dxa"/>
              <w:bottom w:w="0" w:type="dxa"/>
              <w:right w:w="28" w:type="dxa"/>
            </w:tcMar>
            <w:hideMark/>
          </w:tcPr>
          <w:p w14:paraId="19167220" w14:textId="77777777" w:rsidR="0094182F" w:rsidRPr="00216239" w:rsidRDefault="0094182F" w:rsidP="00FF0F59">
            <w:pPr>
              <w:contextualSpacing/>
              <w:jc w:val="center"/>
              <w:rPr>
                <w:color w:val="auto"/>
                <w:lang w:val="kk-KZ" w:eastAsia="en-US"/>
              </w:rPr>
            </w:pPr>
            <w:r w:rsidRPr="00216239">
              <w:rPr>
                <w:color w:val="auto"/>
              </w:rPr>
              <w:t>75</w:t>
            </w:r>
          </w:p>
        </w:tc>
        <w:tc>
          <w:tcPr>
            <w:tcW w:w="992" w:type="dxa"/>
            <w:tcBorders>
              <w:top w:val="nil"/>
              <w:left w:val="nil"/>
              <w:bottom w:val="single" w:sz="4" w:space="0" w:color="auto"/>
              <w:right w:val="single" w:sz="4" w:space="0" w:color="auto"/>
            </w:tcBorders>
            <w:noWrap/>
            <w:tcMar>
              <w:top w:w="0" w:type="dxa"/>
              <w:left w:w="28" w:type="dxa"/>
              <w:bottom w:w="0" w:type="dxa"/>
              <w:right w:w="28" w:type="dxa"/>
            </w:tcMar>
            <w:hideMark/>
          </w:tcPr>
          <w:p w14:paraId="0D24E62F" w14:textId="77777777" w:rsidR="0094182F" w:rsidRPr="00216239" w:rsidRDefault="0094182F" w:rsidP="00FF0F59">
            <w:pPr>
              <w:contextualSpacing/>
              <w:jc w:val="center"/>
              <w:rPr>
                <w:color w:val="auto"/>
                <w:lang w:val="kk-KZ" w:eastAsia="en-US"/>
              </w:rPr>
            </w:pPr>
            <w:r w:rsidRPr="00216239">
              <w:rPr>
                <w:color w:val="auto"/>
              </w:rPr>
              <w:t>29</w:t>
            </w:r>
          </w:p>
        </w:tc>
        <w:tc>
          <w:tcPr>
            <w:tcW w:w="1134" w:type="dxa"/>
            <w:tcBorders>
              <w:top w:val="nil"/>
              <w:left w:val="nil"/>
              <w:bottom w:val="single" w:sz="4" w:space="0" w:color="auto"/>
              <w:right w:val="single" w:sz="4" w:space="0" w:color="auto"/>
            </w:tcBorders>
            <w:noWrap/>
            <w:tcMar>
              <w:top w:w="0" w:type="dxa"/>
              <w:left w:w="28" w:type="dxa"/>
              <w:bottom w:w="0" w:type="dxa"/>
              <w:right w:w="28" w:type="dxa"/>
            </w:tcMar>
            <w:hideMark/>
          </w:tcPr>
          <w:p w14:paraId="5B9F4129" w14:textId="77777777" w:rsidR="0094182F" w:rsidRPr="00216239" w:rsidRDefault="0094182F" w:rsidP="00FF0F59">
            <w:pPr>
              <w:contextualSpacing/>
              <w:jc w:val="center"/>
              <w:rPr>
                <w:color w:val="auto"/>
                <w:lang w:val="kk-KZ" w:eastAsia="en-US"/>
              </w:rPr>
            </w:pPr>
            <w:r w:rsidRPr="00216239">
              <w:rPr>
                <w:color w:val="auto"/>
              </w:rPr>
              <w:t>2531</w:t>
            </w:r>
          </w:p>
        </w:tc>
      </w:tr>
      <w:tr w:rsidR="00216239" w:rsidRPr="00216239" w14:paraId="1EDEAEBD" w14:textId="77777777" w:rsidTr="00FF0F59">
        <w:trPr>
          <w:trHeight w:val="300"/>
        </w:trPr>
        <w:tc>
          <w:tcPr>
            <w:tcW w:w="445"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bottom"/>
            <w:hideMark/>
          </w:tcPr>
          <w:p w14:paraId="45CFE133" w14:textId="77777777" w:rsidR="0094182F" w:rsidRPr="00216239" w:rsidRDefault="0094182F" w:rsidP="00FF0F59">
            <w:pPr>
              <w:contextualSpacing/>
              <w:jc w:val="center"/>
              <w:rPr>
                <w:color w:val="auto"/>
                <w:lang w:val="kk-KZ"/>
              </w:rPr>
            </w:pPr>
            <w:r w:rsidRPr="00216239">
              <w:rPr>
                <w:color w:val="auto"/>
              </w:rPr>
              <w:lastRenderedPageBreak/>
              <w:t>8</w:t>
            </w:r>
          </w:p>
        </w:tc>
        <w:tc>
          <w:tcPr>
            <w:tcW w:w="2009" w:type="dxa"/>
            <w:tcBorders>
              <w:top w:val="nil"/>
              <w:left w:val="nil"/>
              <w:bottom w:val="single" w:sz="4" w:space="0" w:color="auto"/>
              <w:right w:val="single" w:sz="4" w:space="0" w:color="auto"/>
            </w:tcBorders>
            <w:noWrap/>
            <w:tcMar>
              <w:top w:w="0" w:type="dxa"/>
              <w:left w:w="28" w:type="dxa"/>
              <w:bottom w:w="0" w:type="dxa"/>
              <w:right w:w="28" w:type="dxa"/>
            </w:tcMar>
            <w:hideMark/>
          </w:tcPr>
          <w:p w14:paraId="52FF4388" w14:textId="77777777" w:rsidR="0094182F" w:rsidRPr="00216239" w:rsidRDefault="0094182F" w:rsidP="00FF0F59">
            <w:pPr>
              <w:contextualSpacing/>
              <w:jc w:val="center"/>
              <w:rPr>
                <w:color w:val="auto"/>
                <w:lang w:val="kk-KZ"/>
              </w:rPr>
            </w:pPr>
            <w:r w:rsidRPr="00216239">
              <w:rPr>
                <w:color w:val="auto"/>
              </w:rPr>
              <w:t>Карагандинская</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hideMark/>
          </w:tcPr>
          <w:p w14:paraId="25CEA8BA" w14:textId="77777777" w:rsidR="0094182F" w:rsidRPr="00216239" w:rsidRDefault="0094182F" w:rsidP="00FF0F59">
            <w:pPr>
              <w:contextualSpacing/>
              <w:jc w:val="center"/>
              <w:rPr>
                <w:color w:val="auto"/>
                <w:lang w:val="kk-KZ" w:eastAsia="en-US"/>
              </w:rPr>
            </w:pPr>
            <w:r w:rsidRPr="00216239">
              <w:rPr>
                <w:color w:val="auto"/>
              </w:rPr>
              <w:t>227 540,00</w:t>
            </w:r>
          </w:p>
        </w:tc>
        <w:tc>
          <w:tcPr>
            <w:tcW w:w="993" w:type="dxa"/>
            <w:tcBorders>
              <w:top w:val="nil"/>
              <w:left w:val="nil"/>
              <w:bottom w:val="single" w:sz="4" w:space="0" w:color="auto"/>
              <w:right w:val="single" w:sz="4" w:space="0" w:color="auto"/>
            </w:tcBorders>
            <w:noWrap/>
            <w:tcMar>
              <w:top w:w="0" w:type="dxa"/>
              <w:left w:w="28" w:type="dxa"/>
              <w:bottom w:w="0" w:type="dxa"/>
              <w:right w:w="28" w:type="dxa"/>
            </w:tcMar>
            <w:hideMark/>
          </w:tcPr>
          <w:p w14:paraId="042BA5C4" w14:textId="77777777" w:rsidR="0094182F" w:rsidRPr="00216239" w:rsidRDefault="0094182F" w:rsidP="00FF0F59">
            <w:pPr>
              <w:contextualSpacing/>
              <w:jc w:val="center"/>
              <w:rPr>
                <w:color w:val="auto"/>
                <w:lang w:val="kk-KZ" w:eastAsia="en-US"/>
              </w:rPr>
            </w:pPr>
            <w:r w:rsidRPr="00216239">
              <w:rPr>
                <w:color w:val="auto"/>
              </w:rPr>
              <w:t>9,6%</w:t>
            </w:r>
          </w:p>
        </w:tc>
        <w:tc>
          <w:tcPr>
            <w:tcW w:w="1275" w:type="dxa"/>
            <w:tcBorders>
              <w:top w:val="nil"/>
              <w:left w:val="nil"/>
              <w:bottom w:val="single" w:sz="4" w:space="0" w:color="auto"/>
              <w:right w:val="single" w:sz="4" w:space="0" w:color="auto"/>
            </w:tcBorders>
            <w:noWrap/>
            <w:tcMar>
              <w:top w:w="0" w:type="dxa"/>
              <w:left w:w="28" w:type="dxa"/>
              <w:bottom w:w="0" w:type="dxa"/>
              <w:right w:w="28" w:type="dxa"/>
            </w:tcMar>
            <w:hideMark/>
          </w:tcPr>
          <w:p w14:paraId="1982FA8A" w14:textId="77777777" w:rsidR="0094182F" w:rsidRPr="00216239" w:rsidRDefault="0094182F" w:rsidP="00FF0F59">
            <w:pPr>
              <w:contextualSpacing/>
              <w:jc w:val="center"/>
              <w:rPr>
                <w:color w:val="auto"/>
                <w:lang w:val="kk-KZ" w:eastAsia="en-US"/>
              </w:rPr>
            </w:pPr>
            <w:r w:rsidRPr="00216239">
              <w:rPr>
                <w:color w:val="auto"/>
              </w:rPr>
              <w:t>2970</w:t>
            </w:r>
          </w:p>
        </w:tc>
        <w:tc>
          <w:tcPr>
            <w:tcW w:w="1276" w:type="dxa"/>
            <w:tcBorders>
              <w:top w:val="nil"/>
              <w:left w:val="nil"/>
              <w:bottom w:val="single" w:sz="4" w:space="0" w:color="auto"/>
              <w:right w:val="single" w:sz="4" w:space="0" w:color="auto"/>
            </w:tcBorders>
            <w:noWrap/>
            <w:tcMar>
              <w:top w:w="0" w:type="dxa"/>
              <w:left w:w="28" w:type="dxa"/>
              <w:bottom w:w="0" w:type="dxa"/>
              <w:right w:w="28" w:type="dxa"/>
            </w:tcMar>
            <w:hideMark/>
          </w:tcPr>
          <w:p w14:paraId="50D24BA9" w14:textId="77777777" w:rsidR="0094182F" w:rsidRPr="00216239" w:rsidRDefault="0094182F" w:rsidP="00FF0F59">
            <w:pPr>
              <w:contextualSpacing/>
              <w:jc w:val="center"/>
              <w:rPr>
                <w:color w:val="auto"/>
                <w:lang w:val="kk-KZ" w:eastAsia="en-US"/>
              </w:rPr>
            </w:pPr>
            <w:r w:rsidRPr="00216239">
              <w:rPr>
                <w:color w:val="auto"/>
              </w:rPr>
              <w:t>77</w:t>
            </w:r>
          </w:p>
        </w:tc>
        <w:tc>
          <w:tcPr>
            <w:tcW w:w="992" w:type="dxa"/>
            <w:tcBorders>
              <w:top w:val="nil"/>
              <w:left w:val="nil"/>
              <w:bottom w:val="single" w:sz="4" w:space="0" w:color="auto"/>
              <w:right w:val="single" w:sz="4" w:space="0" w:color="auto"/>
            </w:tcBorders>
            <w:noWrap/>
            <w:tcMar>
              <w:top w:w="0" w:type="dxa"/>
              <w:left w:w="28" w:type="dxa"/>
              <w:bottom w:w="0" w:type="dxa"/>
              <w:right w:w="28" w:type="dxa"/>
            </w:tcMar>
            <w:hideMark/>
          </w:tcPr>
          <w:p w14:paraId="2EAD6FD5" w14:textId="77777777" w:rsidR="0094182F" w:rsidRPr="00216239" w:rsidRDefault="0094182F" w:rsidP="00FF0F59">
            <w:pPr>
              <w:contextualSpacing/>
              <w:jc w:val="center"/>
              <w:rPr>
                <w:color w:val="auto"/>
                <w:lang w:val="kk-KZ" w:eastAsia="en-US"/>
              </w:rPr>
            </w:pPr>
            <w:r w:rsidRPr="00216239">
              <w:rPr>
                <w:color w:val="auto"/>
              </w:rPr>
              <w:t>24</w:t>
            </w:r>
          </w:p>
        </w:tc>
        <w:tc>
          <w:tcPr>
            <w:tcW w:w="1134" w:type="dxa"/>
            <w:tcBorders>
              <w:top w:val="nil"/>
              <w:left w:val="nil"/>
              <w:bottom w:val="single" w:sz="4" w:space="0" w:color="auto"/>
              <w:right w:val="single" w:sz="4" w:space="0" w:color="auto"/>
            </w:tcBorders>
            <w:noWrap/>
            <w:tcMar>
              <w:top w:w="0" w:type="dxa"/>
              <w:left w:w="28" w:type="dxa"/>
              <w:bottom w:w="0" w:type="dxa"/>
              <w:right w:w="28" w:type="dxa"/>
            </w:tcMar>
            <w:hideMark/>
          </w:tcPr>
          <w:p w14:paraId="4EA80543" w14:textId="77777777" w:rsidR="0094182F" w:rsidRPr="00216239" w:rsidRDefault="0094182F" w:rsidP="00FF0F59">
            <w:pPr>
              <w:contextualSpacing/>
              <w:jc w:val="center"/>
              <w:rPr>
                <w:color w:val="auto"/>
                <w:lang w:val="kk-KZ" w:eastAsia="en-US"/>
              </w:rPr>
            </w:pPr>
            <w:r w:rsidRPr="00216239">
              <w:rPr>
                <w:color w:val="auto"/>
              </w:rPr>
              <w:t>5256</w:t>
            </w:r>
          </w:p>
        </w:tc>
      </w:tr>
      <w:tr w:rsidR="00216239" w:rsidRPr="00216239" w14:paraId="4859D524" w14:textId="77777777" w:rsidTr="00FF0F59">
        <w:trPr>
          <w:trHeight w:val="300"/>
        </w:trPr>
        <w:tc>
          <w:tcPr>
            <w:tcW w:w="445"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bottom"/>
            <w:hideMark/>
          </w:tcPr>
          <w:p w14:paraId="5FE24281" w14:textId="77777777" w:rsidR="0094182F" w:rsidRPr="00216239" w:rsidRDefault="0094182F" w:rsidP="00FF0F59">
            <w:pPr>
              <w:contextualSpacing/>
              <w:jc w:val="center"/>
              <w:rPr>
                <w:color w:val="auto"/>
                <w:lang w:val="kk-KZ"/>
              </w:rPr>
            </w:pPr>
            <w:r w:rsidRPr="00216239">
              <w:rPr>
                <w:color w:val="auto"/>
              </w:rPr>
              <w:t>9</w:t>
            </w:r>
          </w:p>
        </w:tc>
        <w:tc>
          <w:tcPr>
            <w:tcW w:w="2009" w:type="dxa"/>
            <w:tcBorders>
              <w:top w:val="nil"/>
              <w:left w:val="nil"/>
              <w:bottom w:val="single" w:sz="4" w:space="0" w:color="auto"/>
              <w:right w:val="single" w:sz="4" w:space="0" w:color="auto"/>
            </w:tcBorders>
            <w:noWrap/>
            <w:tcMar>
              <w:top w:w="0" w:type="dxa"/>
              <w:left w:w="28" w:type="dxa"/>
              <w:bottom w:w="0" w:type="dxa"/>
              <w:right w:w="28" w:type="dxa"/>
            </w:tcMar>
            <w:hideMark/>
          </w:tcPr>
          <w:p w14:paraId="061E3166" w14:textId="77777777" w:rsidR="0094182F" w:rsidRPr="00216239" w:rsidRDefault="0094182F" w:rsidP="00FF0F59">
            <w:pPr>
              <w:contextualSpacing/>
              <w:jc w:val="center"/>
              <w:rPr>
                <w:color w:val="auto"/>
                <w:lang w:val="kk-KZ"/>
              </w:rPr>
            </w:pPr>
            <w:r w:rsidRPr="00216239">
              <w:rPr>
                <w:color w:val="auto"/>
              </w:rPr>
              <w:t>Костанайская</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hideMark/>
          </w:tcPr>
          <w:p w14:paraId="4F59C40F" w14:textId="77777777" w:rsidR="0094182F" w:rsidRPr="00216239" w:rsidRDefault="0094182F" w:rsidP="00FF0F59">
            <w:pPr>
              <w:contextualSpacing/>
              <w:jc w:val="center"/>
              <w:rPr>
                <w:color w:val="auto"/>
                <w:lang w:val="kk-KZ" w:eastAsia="en-US"/>
              </w:rPr>
            </w:pPr>
            <w:r w:rsidRPr="00216239">
              <w:rPr>
                <w:color w:val="auto"/>
              </w:rPr>
              <w:t>183 525,00</w:t>
            </w:r>
          </w:p>
        </w:tc>
        <w:tc>
          <w:tcPr>
            <w:tcW w:w="993" w:type="dxa"/>
            <w:tcBorders>
              <w:top w:val="nil"/>
              <w:left w:val="nil"/>
              <w:bottom w:val="single" w:sz="4" w:space="0" w:color="auto"/>
              <w:right w:val="single" w:sz="4" w:space="0" w:color="auto"/>
            </w:tcBorders>
            <w:noWrap/>
            <w:tcMar>
              <w:top w:w="0" w:type="dxa"/>
              <w:left w:w="28" w:type="dxa"/>
              <w:bottom w:w="0" w:type="dxa"/>
              <w:right w:w="28" w:type="dxa"/>
            </w:tcMar>
            <w:hideMark/>
          </w:tcPr>
          <w:p w14:paraId="41C36185" w14:textId="77777777" w:rsidR="0094182F" w:rsidRPr="00216239" w:rsidRDefault="0094182F" w:rsidP="00FF0F59">
            <w:pPr>
              <w:contextualSpacing/>
              <w:jc w:val="center"/>
              <w:rPr>
                <w:color w:val="auto"/>
                <w:lang w:val="kk-KZ" w:eastAsia="en-US"/>
              </w:rPr>
            </w:pPr>
            <w:r w:rsidRPr="00216239">
              <w:rPr>
                <w:color w:val="auto"/>
              </w:rPr>
              <w:t>7,7%</w:t>
            </w:r>
          </w:p>
        </w:tc>
        <w:tc>
          <w:tcPr>
            <w:tcW w:w="1275" w:type="dxa"/>
            <w:tcBorders>
              <w:top w:val="nil"/>
              <w:left w:val="nil"/>
              <w:bottom w:val="single" w:sz="4" w:space="0" w:color="auto"/>
              <w:right w:val="single" w:sz="4" w:space="0" w:color="auto"/>
            </w:tcBorders>
            <w:noWrap/>
            <w:tcMar>
              <w:top w:w="0" w:type="dxa"/>
              <w:left w:w="28" w:type="dxa"/>
              <w:bottom w:w="0" w:type="dxa"/>
              <w:right w:w="28" w:type="dxa"/>
            </w:tcMar>
            <w:hideMark/>
          </w:tcPr>
          <w:p w14:paraId="7F80FEA2" w14:textId="77777777" w:rsidR="0094182F" w:rsidRPr="00216239" w:rsidRDefault="0094182F" w:rsidP="00FF0F59">
            <w:pPr>
              <w:contextualSpacing/>
              <w:jc w:val="center"/>
              <w:rPr>
                <w:color w:val="auto"/>
                <w:lang w:val="kk-KZ" w:eastAsia="en-US"/>
              </w:rPr>
            </w:pPr>
            <w:r w:rsidRPr="00216239">
              <w:rPr>
                <w:color w:val="auto"/>
              </w:rPr>
              <w:t>1844</w:t>
            </w:r>
          </w:p>
        </w:tc>
        <w:tc>
          <w:tcPr>
            <w:tcW w:w="1276" w:type="dxa"/>
            <w:tcBorders>
              <w:top w:val="nil"/>
              <w:left w:val="nil"/>
              <w:bottom w:val="single" w:sz="4" w:space="0" w:color="auto"/>
              <w:right w:val="single" w:sz="4" w:space="0" w:color="auto"/>
            </w:tcBorders>
            <w:noWrap/>
            <w:tcMar>
              <w:top w:w="0" w:type="dxa"/>
              <w:left w:w="28" w:type="dxa"/>
              <w:bottom w:w="0" w:type="dxa"/>
              <w:right w:w="28" w:type="dxa"/>
            </w:tcMar>
            <w:hideMark/>
          </w:tcPr>
          <w:p w14:paraId="12B58C75" w14:textId="77777777" w:rsidR="0094182F" w:rsidRPr="00216239" w:rsidRDefault="0094182F" w:rsidP="00FF0F59">
            <w:pPr>
              <w:contextualSpacing/>
              <w:jc w:val="center"/>
              <w:rPr>
                <w:color w:val="auto"/>
                <w:lang w:val="kk-KZ" w:eastAsia="en-US"/>
              </w:rPr>
            </w:pPr>
            <w:r w:rsidRPr="00216239">
              <w:rPr>
                <w:color w:val="auto"/>
              </w:rPr>
              <w:t>100</w:t>
            </w:r>
          </w:p>
        </w:tc>
        <w:tc>
          <w:tcPr>
            <w:tcW w:w="992" w:type="dxa"/>
            <w:tcBorders>
              <w:top w:val="nil"/>
              <w:left w:val="nil"/>
              <w:bottom w:val="single" w:sz="4" w:space="0" w:color="auto"/>
              <w:right w:val="single" w:sz="4" w:space="0" w:color="auto"/>
            </w:tcBorders>
            <w:noWrap/>
            <w:tcMar>
              <w:top w:w="0" w:type="dxa"/>
              <w:left w:w="28" w:type="dxa"/>
              <w:bottom w:w="0" w:type="dxa"/>
              <w:right w:w="28" w:type="dxa"/>
            </w:tcMar>
            <w:hideMark/>
          </w:tcPr>
          <w:p w14:paraId="59DA24DE" w14:textId="77777777" w:rsidR="0094182F" w:rsidRPr="00216239" w:rsidRDefault="0094182F" w:rsidP="00FF0F59">
            <w:pPr>
              <w:contextualSpacing/>
              <w:jc w:val="center"/>
              <w:rPr>
                <w:color w:val="auto"/>
                <w:lang w:val="kk-KZ" w:eastAsia="en-US"/>
              </w:rPr>
            </w:pPr>
            <w:r w:rsidRPr="00216239">
              <w:rPr>
                <w:color w:val="auto"/>
              </w:rPr>
              <w:t>23</w:t>
            </w:r>
          </w:p>
        </w:tc>
        <w:tc>
          <w:tcPr>
            <w:tcW w:w="1134" w:type="dxa"/>
            <w:tcBorders>
              <w:top w:val="nil"/>
              <w:left w:val="nil"/>
              <w:bottom w:val="single" w:sz="4" w:space="0" w:color="auto"/>
              <w:right w:val="single" w:sz="4" w:space="0" w:color="auto"/>
            </w:tcBorders>
            <w:noWrap/>
            <w:tcMar>
              <w:top w:w="0" w:type="dxa"/>
              <w:left w:w="28" w:type="dxa"/>
              <w:bottom w:w="0" w:type="dxa"/>
              <w:right w:w="28" w:type="dxa"/>
            </w:tcMar>
            <w:hideMark/>
          </w:tcPr>
          <w:p w14:paraId="20C5339D" w14:textId="77777777" w:rsidR="0094182F" w:rsidRPr="00216239" w:rsidRDefault="0094182F" w:rsidP="00FF0F59">
            <w:pPr>
              <w:contextualSpacing/>
              <w:jc w:val="center"/>
              <w:rPr>
                <w:color w:val="auto"/>
                <w:lang w:val="kk-KZ" w:eastAsia="en-US"/>
              </w:rPr>
            </w:pPr>
            <w:r w:rsidRPr="00216239">
              <w:rPr>
                <w:color w:val="auto"/>
              </w:rPr>
              <w:t>3330</w:t>
            </w:r>
          </w:p>
        </w:tc>
      </w:tr>
      <w:tr w:rsidR="00216239" w:rsidRPr="00216239" w14:paraId="1DABDE33" w14:textId="77777777" w:rsidTr="00FF0F59">
        <w:trPr>
          <w:trHeight w:val="300"/>
        </w:trPr>
        <w:tc>
          <w:tcPr>
            <w:tcW w:w="445"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bottom"/>
            <w:hideMark/>
          </w:tcPr>
          <w:p w14:paraId="3952AE61" w14:textId="77777777" w:rsidR="0094182F" w:rsidRPr="00216239" w:rsidRDefault="0094182F" w:rsidP="00FF0F59">
            <w:pPr>
              <w:contextualSpacing/>
              <w:jc w:val="center"/>
              <w:rPr>
                <w:color w:val="auto"/>
                <w:lang w:val="kk-KZ"/>
              </w:rPr>
            </w:pPr>
            <w:r w:rsidRPr="00216239">
              <w:rPr>
                <w:color w:val="auto"/>
              </w:rPr>
              <w:t>10</w:t>
            </w:r>
          </w:p>
        </w:tc>
        <w:tc>
          <w:tcPr>
            <w:tcW w:w="2009" w:type="dxa"/>
            <w:tcBorders>
              <w:top w:val="nil"/>
              <w:left w:val="nil"/>
              <w:bottom w:val="single" w:sz="4" w:space="0" w:color="auto"/>
              <w:right w:val="single" w:sz="4" w:space="0" w:color="auto"/>
            </w:tcBorders>
            <w:noWrap/>
            <w:tcMar>
              <w:top w:w="0" w:type="dxa"/>
              <w:left w:w="28" w:type="dxa"/>
              <w:bottom w:w="0" w:type="dxa"/>
              <w:right w:w="28" w:type="dxa"/>
            </w:tcMar>
            <w:hideMark/>
          </w:tcPr>
          <w:p w14:paraId="33F89316" w14:textId="77777777" w:rsidR="0094182F" w:rsidRPr="00216239" w:rsidRDefault="0094182F" w:rsidP="00FF0F59">
            <w:pPr>
              <w:contextualSpacing/>
              <w:jc w:val="center"/>
              <w:rPr>
                <w:color w:val="auto"/>
                <w:lang w:val="kk-KZ"/>
              </w:rPr>
            </w:pPr>
            <w:r w:rsidRPr="00216239">
              <w:rPr>
                <w:color w:val="auto"/>
              </w:rPr>
              <w:t>Кызылординская</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hideMark/>
          </w:tcPr>
          <w:p w14:paraId="622F7048" w14:textId="77777777" w:rsidR="0094182F" w:rsidRPr="00216239" w:rsidRDefault="0094182F" w:rsidP="00FF0F59">
            <w:pPr>
              <w:contextualSpacing/>
              <w:jc w:val="center"/>
              <w:rPr>
                <w:color w:val="auto"/>
                <w:lang w:val="kk-KZ" w:eastAsia="en-US"/>
              </w:rPr>
            </w:pPr>
            <w:r w:rsidRPr="00216239">
              <w:rPr>
                <w:color w:val="auto"/>
              </w:rPr>
              <w:t>53 037,00</w:t>
            </w:r>
          </w:p>
        </w:tc>
        <w:tc>
          <w:tcPr>
            <w:tcW w:w="993" w:type="dxa"/>
            <w:tcBorders>
              <w:top w:val="nil"/>
              <w:left w:val="nil"/>
              <w:bottom w:val="single" w:sz="4" w:space="0" w:color="auto"/>
              <w:right w:val="single" w:sz="4" w:space="0" w:color="auto"/>
            </w:tcBorders>
            <w:noWrap/>
            <w:tcMar>
              <w:top w:w="0" w:type="dxa"/>
              <w:left w:w="28" w:type="dxa"/>
              <w:bottom w:w="0" w:type="dxa"/>
              <w:right w:w="28" w:type="dxa"/>
            </w:tcMar>
            <w:hideMark/>
          </w:tcPr>
          <w:p w14:paraId="50F36A53" w14:textId="77777777" w:rsidR="0094182F" w:rsidRPr="00216239" w:rsidRDefault="0094182F" w:rsidP="00FF0F59">
            <w:pPr>
              <w:contextualSpacing/>
              <w:jc w:val="center"/>
              <w:rPr>
                <w:color w:val="auto"/>
                <w:lang w:val="kk-KZ" w:eastAsia="en-US"/>
              </w:rPr>
            </w:pPr>
            <w:r w:rsidRPr="00216239">
              <w:rPr>
                <w:color w:val="auto"/>
              </w:rPr>
              <w:t>2,2%</w:t>
            </w:r>
          </w:p>
        </w:tc>
        <w:tc>
          <w:tcPr>
            <w:tcW w:w="1275" w:type="dxa"/>
            <w:tcBorders>
              <w:top w:val="nil"/>
              <w:left w:val="nil"/>
              <w:bottom w:val="single" w:sz="4" w:space="0" w:color="auto"/>
              <w:right w:val="single" w:sz="4" w:space="0" w:color="auto"/>
            </w:tcBorders>
            <w:noWrap/>
            <w:tcMar>
              <w:top w:w="0" w:type="dxa"/>
              <w:left w:w="28" w:type="dxa"/>
              <w:bottom w:w="0" w:type="dxa"/>
              <w:right w:w="28" w:type="dxa"/>
            </w:tcMar>
            <w:hideMark/>
          </w:tcPr>
          <w:p w14:paraId="2542C8C5" w14:textId="77777777" w:rsidR="0094182F" w:rsidRPr="00216239" w:rsidRDefault="0094182F" w:rsidP="00FF0F59">
            <w:pPr>
              <w:contextualSpacing/>
              <w:jc w:val="center"/>
              <w:rPr>
                <w:color w:val="auto"/>
                <w:lang w:val="kk-KZ" w:eastAsia="en-US"/>
              </w:rPr>
            </w:pPr>
            <w:r w:rsidRPr="00216239">
              <w:rPr>
                <w:color w:val="auto"/>
              </w:rPr>
              <w:t>4844</w:t>
            </w:r>
          </w:p>
        </w:tc>
        <w:tc>
          <w:tcPr>
            <w:tcW w:w="1276" w:type="dxa"/>
            <w:tcBorders>
              <w:top w:val="nil"/>
              <w:left w:val="nil"/>
              <w:bottom w:val="single" w:sz="4" w:space="0" w:color="auto"/>
              <w:right w:val="single" w:sz="4" w:space="0" w:color="auto"/>
            </w:tcBorders>
            <w:noWrap/>
            <w:tcMar>
              <w:top w:w="0" w:type="dxa"/>
              <w:left w:w="28" w:type="dxa"/>
              <w:bottom w:w="0" w:type="dxa"/>
              <w:right w:w="28" w:type="dxa"/>
            </w:tcMar>
            <w:hideMark/>
          </w:tcPr>
          <w:p w14:paraId="0E1D0682" w14:textId="77777777" w:rsidR="0094182F" w:rsidRPr="00216239" w:rsidRDefault="0094182F" w:rsidP="00FF0F59">
            <w:pPr>
              <w:contextualSpacing/>
              <w:jc w:val="center"/>
              <w:rPr>
                <w:color w:val="auto"/>
                <w:lang w:val="kk-KZ" w:eastAsia="en-US"/>
              </w:rPr>
            </w:pPr>
            <w:r w:rsidRPr="00216239">
              <w:rPr>
                <w:color w:val="auto"/>
              </w:rPr>
              <w:t>11</w:t>
            </w:r>
          </w:p>
        </w:tc>
        <w:tc>
          <w:tcPr>
            <w:tcW w:w="992" w:type="dxa"/>
            <w:tcBorders>
              <w:top w:val="nil"/>
              <w:left w:val="nil"/>
              <w:bottom w:val="single" w:sz="4" w:space="0" w:color="auto"/>
              <w:right w:val="single" w:sz="4" w:space="0" w:color="auto"/>
            </w:tcBorders>
            <w:noWrap/>
            <w:tcMar>
              <w:top w:w="0" w:type="dxa"/>
              <w:left w:w="28" w:type="dxa"/>
              <w:bottom w:w="0" w:type="dxa"/>
              <w:right w:w="28" w:type="dxa"/>
            </w:tcMar>
            <w:hideMark/>
          </w:tcPr>
          <w:p w14:paraId="0A8F7402" w14:textId="77777777" w:rsidR="0094182F" w:rsidRPr="00216239" w:rsidRDefault="0094182F" w:rsidP="00FF0F59">
            <w:pPr>
              <w:contextualSpacing/>
              <w:jc w:val="center"/>
              <w:rPr>
                <w:color w:val="auto"/>
                <w:lang w:val="kk-KZ" w:eastAsia="en-US"/>
              </w:rPr>
            </w:pPr>
            <w:r w:rsidRPr="00216239">
              <w:rPr>
                <w:color w:val="auto"/>
              </w:rPr>
              <w:t>29</w:t>
            </w:r>
          </w:p>
        </w:tc>
        <w:tc>
          <w:tcPr>
            <w:tcW w:w="1134" w:type="dxa"/>
            <w:tcBorders>
              <w:top w:val="nil"/>
              <w:left w:val="nil"/>
              <w:bottom w:val="single" w:sz="4" w:space="0" w:color="auto"/>
              <w:right w:val="single" w:sz="4" w:space="0" w:color="auto"/>
            </w:tcBorders>
            <w:noWrap/>
            <w:tcMar>
              <w:top w:w="0" w:type="dxa"/>
              <w:left w:w="28" w:type="dxa"/>
              <w:bottom w:w="0" w:type="dxa"/>
              <w:right w:w="28" w:type="dxa"/>
            </w:tcMar>
            <w:hideMark/>
          </w:tcPr>
          <w:p w14:paraId="3C622ED8" w14:textId="77777777" w:rsidR="0094182F" w:rsidRPr="00216239" w:rsidRDefault="0094182F" w:rsidP="00FF0F59">
            <w:pPr>
              <w:contextualSpacing/>
              <w:jc w:val="center"/>
              <w:rPr>
                <w:color w:val="auto"/>
                <w:lang w:val="kk-KZ" w:eastAsia="en-US"/>
              </w:rPr>
            </w:pPr>
            <w:r w:rsidRPr="00216239">
              <w:rPr>
                <w:color w:val="auto"/>
              </w:rPr>
              <w:t>2604</w:t>
            </w:r>
          </w:p>
        </w:tc>
      </w:tr>
      <w:tr w:rsidR="00216239" w:rsidRPr="00216239" w14:paraId="329CDF0A" w14:textId="77777777" w:rsidTr="00FF0F59">
        <w:trPr>
          <w:trHeight w:val="300"/>
        </w:trPr>
        <w:tc>
          <w:tcPr>
            <w:tcW w:w="445"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bottom"/>
            <w:hideMark/>
          </w:tcPr>
          <w:p w14:paraId="65781A2D" w14:textId="77777777" w:rsidR="0094182F" w:rsidRPr="00216239" w:rsidRDefault="0094182F" w:rsidP="00FF0F59">
            <w:pPr>
              <w:contextualSpacing/>
              <w:jc w:val="center"/>
              <w:rPr>
                <w:color w:val="auto"/>
                <w:lang w:val="kk-KZ"/>
              </w:rPr>
            </w:pPr>
            <w:r w:rsidRPr="00216239">
              <w:rPr>
                <w:color w:val="auto"/>
              </w:rPr>
              <w:t>11</w:t>
            </w:r>
          </w:p>
        </w:tc>
        <w:tc>
          <w:tcPr>
            <w:tcW w:w="2009" w:type="dxa"/>
            <w:tcBorders>
              <w:top w:val="nil"/>
              <w:left w:val="nil"/>
              <w:bottom w:val="single" w:sz="4" w:space="0" w:color="auto"/>
              <w:right w:val="single" w:sz="4" w:space="0" w:color="auto"/>
            </w:tcBorders>
            <w:noWrap/>
            <w:tcMar>
              <w:top w:w="0" w:type="dxa"/>
              <w:left w:w="28" w:type="dxa"/>
              <w:bottom w:w="0" w:type="dxa"/>
              <w:right w:w="28" w:type="dxa"/>
            </w:tcMar>
            <w:hideMark/>
          </w:tcPr>
          <w:p w14:paraId="4B910D69" w14:textId="77777777" w:rsidR="0094182F" w:rsidRPr="00216239" w:rsidRDefault="0094182F" w:rsidP="00FF0F59">
            <w:pPr>
              <w:contextualSpacing/>
              <w:jc w:val="center"/>
              <w:rPr>
                <w:color w:val="auto"/>
                <w:lang w:val="kk-KZ"/>
              </w:rPr>
            </w:pPr>
            <w:r w:rsidRPr="00216239">
              <w:rPr>
                <w:color w:val="auto"/>
              </w:rPr>
              <w:t>Мангистауская</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hideMark/>
          </w:tcPr>
          <w:p w14:paraId="16BC3F8D" w14:textId="77777777" w:rsidR="0094182F" w:rsidRPr="00216239" w:rsidRDefault="0094182F" w:rsidP="00FF0F59">
            <w:pPr>
              <w:contextualSpacing/>
              <w:jc w:val="center"/>
              <w:rPr>
                <w:color w:val="auto"/>
                <w:lang w:val="kk-KZ" w:eastAsia="en-US"/>
              </w:rPr>
            </w:pPr>
            <w:r w:rsidRPr="00216239">
              <w:rPr>
                <w:color w:val="auto"/>
              </w:rPr>
              <w:t>78 963,00</w:t>
            </w:r>
          </w:p>
        </w:tc>
        <w:tc>
          <w:tcPr>
            <w:tcW w:w="993" w:type="dxa"/>
            <w:tcBorders>
              <w:top w:val="nil"/>
              <w:left w:val="nil"/>
              <w:bottom w:val="single" w:sz="4" w:space="0" w:color="auto"/>
              <w:right w:val="single" w:sz="4" w:space="0" w:color="auto"/>
            </w:tcBorders>
            <w:noWrap/>
            <w:tcMar>
              <w:top w:w="0" w:type="dxa"/>
              <w:left w:w="28" w:type="dxa"/>
              <w:bottom w:w="0" w:type="dxa"/>
              <w:right w:w="28" w:type="dxa"/>
            </w:tcMar>
            <w:hideMark/>
          </w:tcPr>
          <w:p w14:paraId="4EDEC5DC" w14:textId="77777777" w:rsidR="0094182F" w:rsidRPr="00216239" w:rsidRDefault="0094182F" w:rsidP="00FF0F59">
            <w:pPr>
              <w:contextualSpacing/>
              <w:jc w:val="center"/>
              <w:rPr>
                <w:color w:val="auto"/>
                <w:lang w:val="kk-KZ" w:eastAsia="en-US"/>
              </w:rPr>
            </w:pPr>
            <w:r w:rsidRPr="00216239">
              <w:rPr>
                <w:color w:val="auto"/>
              </w:rPr>
              <w:t>3,3%</w:t>
            </w:r>
          </w:p>
        </w:tc>
        <w:tc>
          <w:tcPr>
            <w:tcW w:w="1275" w:type="dxa"/>
            <w:tcBorders>
              <w:top w:val="nil"/>
              <w:left w:val="nil"/>
              <w:bottom w:val="single" w:sz="4" w:space="0" w:color="auto"/>
              <w:right w:val="single" w:sz="4" w:space="0" w:color="auto"/>
            </w:tcBorders>
            <w:noWrap/>
            <w:tcMar>
              <w:top w:w="0" w:type="dxa"/>
              <w:left w:w="28" w:type="dxa"/>
              <w:bottom w:w="0" w:type="dxa"/>
              <w:right w:w="28" w:type="dxa"/>
            </w:tcMar>
            <w:hideMark/>
          </w:tcPr>
          <w:p w14:paraId="53596741" w14:textId="77777777" w:rsidR="0094182F" w:rsidRPr="00216239" w:rsidRDefault="0094182F" w:rsidP="00FF0F59">
            <w:pPr>
              <w:contextualSpacing/>
              <w:jc w:val="center"/>
              <w:rPr>
                <w:color w:val="auto"/>
                <w:lang w:val="kk-KZ" w:eastAsia="en-US"/>
              </w:rPr>
            </w:pPr>
            <w:r w:rsidRPr="00216239">
              <w:rPr>
                <w:color w:val="auto"/>
              </w:rPr>
              <w:t>1155</w:t>
            </w:r>
          </w:p>
        </w:tc>
        <w:tc>
          <w:tcPr>
            <w:tcW w:w="1276" w:type="dxa"/>
            <w:tcBorders>
              <w:top w:val="nil"/>
              <w:left w:val="nil"/>
              <w:bottom w:val="single" w:sz="4" w:space="0" w:color="auto"/>
              <w:right w:val="single" w:sz="4" w:space="0" w:color="auto"/>
            </w:tcBorders>
            <w:noWrap/>
            <w:tcMar>
              <w:top w:w="0" w:type="dxa"/>
              <w:left w:w="28" w:type="dxa"/>
              <w:bottom w:w="0" w:type="dxa"/>
              <w:right w:w="28" w:type="dxa"/>
            </w:tcMar>
            <w:hideMark/>
          </w:tcPr>
          <w:p w14:paraId="27DB1CC1" w14:textId="77777777" w:rsidR="0094182F" w:rsidRPr="00216239" w:rsidRDefault="0094182F" w:rsidP="00FF0F59">
            <w:pPr>
              <w:contextualSpacing/>
              <w:jc w:val="center"/>
              <w:rPr>
                <w:color w:val="auto"/>
                <w:lang w:val="kk-KZ" w:eastAsia="en-US"/>
              </w:rPr>
            </w:pPr>
            <w:r w:rsidRPr="00216239">
              <w:rPr>
                <w:color w:val="auto"/>
              </w:rPr>
              <w:t>68</w:t>
            </w:r>
          </w:p>
        </w:tc>
        <w:tc>
          <w:tcPr>
            <w:tcW w:w="992" w:type="dxa"/>
            <w:tcBorders>
              <w:top w:val="nil"/>
              <w:left w:val="nil"/>
              <w:bottom w:val="single" w:sz="4" w:space="0" w:color="auto"/>
              <w:right w:val="single" w:sz="4" w:space="0" w:color="auto"/>
            </w:tcBorders>
            <w:noWrap/>
            <w:tcMar>
              <w:top w:w="0" w:type="dxa"/>
              <w:left w:w="28" w:type="dxa"/>
              <w:bottom w:w="0" w:type="dxa"/>
              <w:right w:w="28" w:type="dxa"/>
            </w:tcMar>
            <w:hideMark/>
          </w:tcPr>
          <w:p w14:paraId="1BEAE06C" w14:textId="77777777" w:rsidR="0094182F" w:rsidRPr="00216239" w:rsidRDefault="0094182F" w:rsidP="00FF0F59">
            <w:pPr>
              <w:contextualSpacing/>
              <w:jc w:val="center"/>
              <w:rPr>
                <w:color w:val="auto"/>
                <w:lang w:val="kk-KZ" w:eastAsia="en-US"/>
              </w:rPr>
            </w:pPr>
            <w:r w:rsidRPr="00216239">
              <w:rPr>
                <w:color w:val="auto"/>
              </w:rPr>
              <w:t>39</w:t>
            </w:r>
          </w:p>
        </w:tc>
        <w:tc>
          <w:tcPr>
            <w:tcW w:w="1134" w:type="dxa"/>
            <w:tcBorders>
              <w:top w:val="nil"/>
              <w:left w:val="nil"/>
              <w:bottom w:val="single" w:sz="4" w:space="0" w:color="auto"/>
              <w:right w:val="single" w:sz="4" w:space="0" w:color="auto"/>
            </w:tcBorders>
            <w:noWrap/>
            <w:tcMar>
              <w:top w:w="0" w:type="dxa"/>
              <w:left w:w="28" w:type="dxa"/>
              <w:bottom w:w="0" w:type="dxa"/>
              <w:right w:w="28" w:type="dxa"/>
            </w:tcMar>
            <w:hideMark/>
          </w:tcPr>
          <w:p w14:paraId="1CB04D94" w14:textId="77777777" w:rsidR="0094182F" w:rsidRPr="00216239" w:rsidRDefault="0094182F" w:rsidP="00FF0F59">
            <w:pPr>
              <w:contextualSpacing/>
              <w:jc w:val="center"/>
              <w:rPr>
                <w:color w:val="auto"/>
                <w:lang w:val="kk-KZ" w:eastAsia="en-US"/>
              </w:rPr>
            </w:pPr>
            <w:r w:rsidRPr="00216239">
              <w:rPr>
                <w:color w:val="auto"/>
              </w:rPr>
              <w:t>3684</w:t>
            </w:r>
          </w:p>
        </w:tc>
      </w:tr>
      <w:tr w:rsidR="00216239" w:rsidRPr="00216239" w14:paraId="6453FAF2" w14:textId="77777777" w:rsidTr="00FF0F59">
        <w:trPr>
          <w:trHeight w:val="300"/>
        </w:trPr>
        <w:tc>
          <w:tcPr>
            <w:tcW w:w="445"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bottom"/>
            <w:hideMark/>
          </w:tcPr>
          <w:p w14:paraId="472545EB" w14:textId="77777777" w:rsidR="0094182F" w:rsidRPr="00216239" w:rsidRDefault="0094182F" w:rsidP="00FF0F59">
            <w:pPr>
              <w:contextualSpacing/>
              <w:jc w:val="center"/>
              <w:rPr>
                <w:color w:val="auto"/>
                <w:lang w:val="kk-KZ"/>
              </w:rPr>
            </w:pPr>
            <w:r w:rsidRPr="00216239">
              <w:rPr>
                <w:color w:val="auto"/>
              </w:rPr>
              <w:t>12</w:t>
            </w:r>
          </w:p>
        </w:tc>
        <w:tc>
          <w:tcPr>
            <w:tcW w:w="2009" w:type="dxa"/>
            <w:tcBorders>
              <w:top w:val="nil"/>
              <w:left w:val="nil"/>
              <w:bottom w:val="single" w:sz="4" w:space="0" w:color="auto"/>
              <w:right w:val="single" w:sz="4" w:space="0" w:color="auto"/>
            </w:tcBorders>
            <w:noWrap/>
            <w:tcMar>
              <w:top w:w="0" w:type="dxa"/>
              <w:left w:w="28" w:type="dxa"/>
              <w:bottom w:w="0" w:type="dxa"/>
              <w:right w:w="28" w:type="dxa"/>
            </w:tcMar>
            <w:hideMark/>
          </w:tcPr>
          <w:p w14:paraId="7BF8268D" w14:textId="77777777" w:rsidR="0094182F" w:rsidRPr="00216239" w:rsidRDefault="0094182F" w:rsidP="00FF0F59">
            <w:pPr>
              <w:contextualSpacing/>
              <w:jc w:val="center"/>
              <w:rPr>
                <w:color w:val="auto"/>
                <w:lang w:val="kk-KZ"/>
              </w:rPr>
            </w:pPr>
            <w:r w:rsidRPr="00216239">
              <w:rPr>
                <w:color w:val="auto"/>
              </w:rPr>
              <w:t>Павлодарская</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hideMark/>
          </w:tcPr>
          <w:p w14:paraId="79EBFBC9" w14:textId="77777777" w:rsidR="0094182F" w:rsidRPr="00216239" w:rsidRDefault="0094182F" w:rsidP="00FF0F59">
            <w:pPr>
              <w:contextualSpacing/>
              <w:jc w:val="center"/>
              <w:rPr>
                <w:color w:val="auto"/>
                <w:lang w:val="kk-KZ" w:eastAsia="en-US"/>
              </w:rPr>
            </w:pPr>
            <w:r w:rsidRPr="00216239">
              <w:rPr>
                <w:color w:val="auto"/>
              </w:rPr>
              <w:t>175 987,00</w:t>
            </w:r>
          </w:p>
        </w:tc>
        <w:tc>
          <w:tcPr>
            <w:tcW w:w="993" w:type="dxa"/>
            <w:tcBorders>
              <w:top w:val="nil"/>
              <w:left w:val="nil"/>
              <w:bottom w:val="single" w:sz="4" w:space="0" w:color="auto"/>
              <w:right w:val="single" w:sz="4" w:space="0" w:color="auto"/>
            </w:tcBorders>
            <w:noWrap/>
            <w:tcMar>
              <w:top w:w="0" w:type="dxa"/>
              <w:left w:w="28" w:type="dxa"/>
              <w:bottom w:w="0" w:type="dxa"/>
              <w:right w:w="28" w:type="dxa"/>
            </w:tcMar>
            <w:hideMark/>
          </w:tcPr>
          <w:p w14:paraId="6D2744EE" w14:textId="77777777" w:rsidR="0094182F" w:rsidRPr="00216239" w:rsidRDefault="0094182F" w:rsidP="00FF0F59">
            <w:pPr>
              <w:contextualSpacing/>
              <w:jc w:val="center"/>
              <w:rPr>
                <w:color w:val="auto"/>
                <w:lang w:val="kk-KZ" w:eastAsia="en-US"/>
              </w:rPr>
            </w:pPr>
            <w:r w:rsidRPr="00216239">
              <w:rPr>
                <w:color w:val="auto"/>
              </w:rPr>
              <w:t>7,4%</w:t>
            </w:r>
          </w:p>
        </w:tc>
        <w:tc>
          <w:tcPr>
            <w:tcW w:w="1275" w:type="dxa"/>
            <w:tcBorders>
              <w:top w:val="nil"/>
              <w:left w:val="nil"/>
              <w:bottom w:val="single" w:sz="4" w:space="0" w:color="auto"/>
              <w:right w:val="single" w:sz="4" w:space="0" w:color="auto"/>
            </w:tcBorders>
            <w:noWrap/>
            <w:tcMar>
              <w:top w:w="0" w:type="dxa"/>
              <w:left w:w="28" w:type="dxa"/>
              <w:bottom w:w="0" w:type="dxa"/>
              <w:right w:w="28" w:type="dxa"/>
            </w:tcMar>
            <w:hideMark/>
          </w:tcPr>
          <w:p w14:paraId="168C427E" w14:textId="77777777" w:rsidR="0094182F" w:rsidRPr="00216239" w:rsidRDefault="0094182F" w:rsidP="00FF0F59">
            <w:pPr>
              <w:contextualSpacing/>
              <w:jc w:val="center"/>
              <w:rPr>
                <w:color w:val="auto"/>
                <w:lang w:val="kk-KZ" w:eastAsia="en-US"/>
              </w:rPr>
            </w:pPr>
            <w:r w:rsidRPr="00216239">
              <w:rPr>
                <w:color w:val="auto"/>
              </w:rPr>
              <w:t>2589</w:t>
            </w:r>
          </w:p>
        </w:tc>
        <w:tc>
          <w:tcPr>
            <w:tcW w:w="1276" w:type="dxa"/>
            <w:tcBorders>
              <w:top w:val="nil"/>
              <w:left w:val="nil"/>
              <w:bottom w:val="single" w:sz="4" w:space="0" w:color="auto"/>
              <w:right w:val="single" w:sz="4" w:space="0" w:color="auto"/>
            </w:tcBorders>
            <w:noWrap/>
            <w:tcMar>
              <w:top w:w="0" w:type="dxa"/>
              <w:left w:w="28" w:type="dxa"/>
              <w:bottom w:w="0" w:type="dxa"/>
              <w:right w:w="28" w:type="dxa"/>
            </w:tcMar>
            <w:hideMark/>
          </w:tcPr>
          <w:p w14:paraId="1DDFA222" w14:textId="77777777" w:rsidR="0094182F" w:rsidRPr="00216239" w:rsidRDefault="0094182F" w:rsidP="00FF0F59">
            <w:pPr>
              <w:contextualSpacing/>
              <w:jc w:val="center"/>
              <w:rPr>
                <w:color w:val="auto"/>
                <w:lang w:val="kk-KZ" w:eastAsia="en-US"/>
              </w:rPr>
            </w:pPr>
            <w:r w:rsidRPr="00216239">
              <w:rPr>
                <w:color w:val="auto"/>
              </w:rPr>
              <w:t>68</w:t>
            </w:r>
          </w:p>
        </w:tc>
        <w:tc>
          <w:tcPr>
            <w:tcW w:w="992" w:type="dxa"/>
            <w:tcBorders>
              <w:top w:val="nil"/>
              <w:left w:val="nil"/>
              <w:bottom w:val="single" w:sz="4" w:space="0" w:color="auto"/>
              <w:right w:val="single" w:sz="4" w:space="0" w:color="auto"/>
            </w:tcBorders>
            <w:noWrap/>
            <w:tcMar>
              <w:top w:w="0" w:type="dxa"/>
              <w:left w:w="28" w:type="dxa"/>
              <w:bottom w:w="0" w:type="dxa"/>
              <w:right w:w="28" w:type="dxa"/>
            </w:tcMar>
            <w:hideMark/>
          </w:tcPr>
          <w:p w14:paraId="275BBB55" w14:textId="77777777" w:rsidR="0094182F" w:rsidRPr="00216239" w:rsidRDefault="0094182F" w:rsidP="00FF0F59">
            <w:pPr>
              <w:contextualSpacing/>
              <w:jc w:val="center"/>
              <w:rPr>
                <w:color w:val="auto"/>
                <w:lang w:val="kk-KZ" w:eastAsia="en-US"/>
              </w:rPr>
            </w:pPr>
            <w:r w:rsidRPr="00216239">
              <w:rPr>
                <w:color w:val="auto"/>
              </w:rPr>
              <w:t>30</w:t>
            </w:r>
          </w:p>
        </w:tc>
        <w:tc>
          <w:tcPr>
            <w:tcW w:w="1134" w:type="dxa"/>
            <w:tcBorders>
              <w:top w:val="nil"/>
              <w:left w:val="nil"/>
              <w:bottom w:val="single" w:sz="4" w:space="0" w:color="auto"/>
              <w:right w:val="single" w:sz="4" w:space="0" w:color="auto"/>
            </w:tcBorders>
            <w:noWrap/>
            <w:tcMar>
              <w:top w:w="0" w:type="dxa"/>
              <w:left w:w="28" w:type="dxa"/>
              <w:bottom w:w="0" w:type="dxa"/>
              <w:right w:w="28" w:type="dxa"/>
            </w:tcMar>
            <w:hideMark/>
          </w:tcPr>
          <w:p w14:paraId="052E8293" w14:textId="77777777" w:rsidR="0094182F" w:rsidRPr="00216239" w:rsidRDefault="0094182F" w:rsidP="00FF0F59">
            <w:pPr>
              <w:contextualSpacing/>
              <w:jc w:val="center"/>
              <w:rPr>
                <w:color w:val="auto"/>
                <w:lang w:val="kk-KZ" w:eastAsia="en-US"/>
              </w:rPr>
            </w:pPr>
            <w:r w:rsidRPr="00216239">
              <w:rPr>
                <w:color w:val="auto"/>
              </w:rPr>
              <w:t>5721</w:t>
            </w:r>
          </w:p>
        </w:tc>
      </w:tr>
      <w:tr w:rsidR="00216239" w:rsidRPr="00216239" w14:paraId="2479310D" w14:textId="77777777" w:rsidTr="00FF0F59">
        <w:trPr>
          <w:trHeight w:val="300"/>
        </w:trPr>
        <w:tc>
          <w:tcPr>
            <w:tcW w:w="445"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bottom"/>
            <w:hideMark/>
          </w:tcPr>
          <w:p w14:paraId="04CF02F0" w14:textId="77777777" w:rsidR="0094182F" w:rsidRPr="00216239" w:rsidRDefault="0094182F" w:rsidP="00FF0F59">
            <w:pPr>
              <w:contextualSpacing/>
              <w:jc w:val="center"/>
              <w:rPr>
                <w:color w:val="auto"/>
                <w:lang w:val="kk-KZ"/>
              </w:rPr>
            </w:pPr>
            <w:r w:rsidRPr="00216239">
              <w:rPr>
                <w:color w:val="auto"/>
              </w:rPr>
              <w:t>13</w:t>
            </w:r>
          </w:p>
        </w:tc>
        <w:tc>
          <w:tcPr>
            <w:tcW w:w="2009" w:type="dxa"/>
            <w:tcBorders>
              <w:top w:val="nil"/>
              <w:left w:val="nil"/>
              <w:bottom w:val="single" w:sz="4" w:space="0" w:color="auto"/>
              <w:right w:val="single" w:sz="4" w:space="0" w:color="auto"/>
            </w:tcBorders>
            <w:noWrap/>
            <w:tcMar>
              <w:top w:w="0" w:type="dxa"/>
              <w:left w:w="28" w:type="dxa"/>
              <w:bottom w:w="0" w:type="dxa"/>
              <w:right w:w="28" w:type="dxa"/>
            </w:tcMar>
            <w:hideMark/>
          </w:tcPr>
          <w:p w14:paraId="14B06FAE" w14:textId="77777777" w:rsidR="0094182F" w:rsidRPr="00216239" w:rsidRDefault="0094182F" w:rsidP="00FF0F59">
            <w:pPr>
              <w:contextualSpacing/>
              <w:jc w:val="center"/>
              <w:rPr>
                <w:color w:val="auto"/>
                <w:lang w:val="kk-KZ"/>
              </w:rPr>
            </w:pPr>
            <w:r w:rsidRPr="00216239">
              <w:rPr>
                <w:color w:val="auto"/>
              </w:rPr>
              <w:t>СКО</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hideMark/>
          </w:tcPr>
          <w:p w14:paraId="4FB92C6B" w14:textId="77777777" w:rsidR="0094182F" w:rsidRPr="00216239" w:rsidRDefault="0094182F" w:rsidP="00FF0F59">
            <w:pPr>
              <w:contextualSpacing/>
              <w:jc w:val="center"/>
              <w:rPr>
                <w:color w:val="auto"/>
                <w:lang w:val="kk-KZ" w:eastAsia="en-US"/>
              </w:rPr>
            </w:pPr>
            <w:r w:rsidRPr="00216239">
              <w:rPr>
                <w:color w:val="auto"/>
              </w:rPr>
              <w:t>104 603,00</w:t>
            </w:r>
          </w:p>
        </w:tc>
        <w:tc>
          <w:tcPr>
            <w:tcW w:w="993" w:type="dxa"/>
            <w:tcBorders>
              <w:top w:val="nil"/>
              <w:left w:val="nil"/>
              <w:bottom w:val="single" w:sz="4" w:space="0" w:color="auto"/>
              <w:right w:val="single" w:sz="4" w:space="0" w:color="auto"/>
            </w:tcBorders>
            <w:noWrap/>
            <w:tcMar>
              <w:top w:w="0" w:type="dxa"/>
              <w:left w:w="28" w:type="dxa"/>
              <w:bottom w:w="0" w:type="dxa"/>
              <w:right w:w="28" w:type="dxa"/>
            </w:tcMar>
            <w:hideMark/>
          </w:tcPr>
          <w:p w14:paraId="0DE9E648" w14:textId="77777777" w:rsidR="0094182F" w:rsidRPr="00216239" w:rsidRDefault="0094182F" w:rsidP="00FF0F59">
            <w:pPr>
              <w:contextualSpacing/>
              <w:jc w:val="center"/>
              <w:rPr>
                <w:color w:val="auto"/>
                <w:lang w:val="kk-KZ" w:eastAsia="en-US"/>
              </w:rPr>
            </w:pPr>
            <w:r w:rsidRPr="00216239">
              <w:rPr>
                <w:color w:val="auto"/>
              </w:rPr>
              <w:t>4,4%</w:t>
            </w:r>
          </w:p>
        </w:tc>
        <w:tc>
          <w:tcPr>
            <w:tcW w:w="1275" w:type="dxa"/>
            <w:tcBorders>
              <w:top w:val="nil"/>
              <w:left w:val="nil"/>
              <w:bottom w:val="single" w:sz="4" w:space="0" w:color="auto"/>
              <w:right w:val="single" w:sz="4" w:space="0" w:color="auto"/>
            </w:tcBorders>
            <w:noWrap/>
            <w:tcMar>
              <w:top w:w="0" w:type="dxa"/>
              <w:left w:w="28" w:type="dxa"/>
              <w:bottom w:w="0" w:type="dxa"/>
              <w:right w:w="28" w:type="dxa"/>
            </w:tcMar>
            <w:hideMark/>
          </w:tcPr>
          <w:p w14:paraId="613410BA" w14:textId="77777777" w:rsidR="0094182F" w:rsidRPr="00216239" w:rsidRDefault="0094182F" w:rsidP="00FF0F59">
            <w:pPr>
              <w:contextualSpacing/>
              <w:jc w:val="center"/>
              <w:rPr>
                <w:color w:val="auto"/>
                <w:lang w:val="kk-KZ" w:eastAsia="en-US"/>
              </w:rPr>
            </w:pPr>
            <w:r w:rsidRPr="00216239">
              <w:rPr>
                <w:color w:val="auto"/>
              </w:rPr>
              <w:t>1305</w:t>
            </w:r>
          </w:p>
        </w:tc>
        <w:tc>
          <w:tcPr>
            <w:tcW w:w="1276" w:type="dxa"/>
            <w:tcBorders>
              <w:top w:val="nil"/>
              <w:left w:val="nil"/>
              <w:bottom w:val="single" w:sz="4" w:space="0" w:color="auto"/>
              <w:right w:val="single" w:sz="4" w:space="0" w:color="auto"/>
            </w:tcBorders>
            <w:noWrap/>
            <w:tcMar>
              <w:top w:w="0" w:type="dxa"/>
              <w:left w:w="28" w:type="dxa"/>
              <w:bottom w:w="0" w:type="dxa"/>
              <w:right w:w="28" w:type="dxa"/>
            </w:tcMar>
            <w:hideMark/>
          </w:tcPr>
          <w:p w14:paraId="25728EBB" w14:textId="77777777" w:rsidR="0094182F" w:rsidRPr="00216239" w:rsidRDefault="0094182F" w:rsidP="00FF0F59">
            <w:pPr>
              <w:contextualSpacing/>
              <w:jc w:val="center"/>
              <w:rPr>
                <w:color w:val="auto"/>
                <w:lang w:val="kk-KZ" w:eastAsia="en-US"/>
              </w:rPr>
            </w:pPr>
            <w:r w:rsidRPr="00216239">
              <w:rPr>
                <w:color w:val="auto"/>
              </w:rPr>
              <w:t>80</w:t>
            </w:r>
          </w:p>
        </w:tc>
        <w:tc>
          <w:tcPr>
            <w:tcW w:w="992" w:type="dxa"/>
            <w:tcBorders>
              <w:top w:val="nil"/>
              <w:left w:val="nil"/>
              <w:bottom w:val="single" w:sz="4" w:space="0" w:color="auto"/>
              <w:right w:val="single" w:sz="4" w:space="0" w:color="auto"/>
            </w:tcBorders>
            <w:noWrap/>
            <w:tcMar>
              <w:top w:w="0" w:type="dxa"/>
              <w:left w:w="28" w:type="dxa"/>
              <w:bottom w:w="0" w:type="dxa"/>
              <w:right w:w="28" w:type="dxa"/>
            </w:tcMar>
            <w:hideMark/>
          </w:tcPr>
          <w:p w14:paraId="36DA69A3" w14:textId="77777777" w:rsidR="0094182F" w:rsidRPr="00216239" w:rsidRDefault="0094182F" w:rsidP="00FF0F59">
            <w:pPr>
              <w:contextualSpacing/>
              <w:jc w:val="center"/>
              <w:rPr>
                <w:color w:val="auto"/>
                <w:lang w:val="kk-KZ" w:eastAsia="en-US"/>
              </w:rPr>
            </w:pPr>
            <w:r w:rsidRPr="00216239">
              <w:rPr>
                <w:color w:val="auto"/>
              </w:rPr>
              <w:t>32</w:t>
            </w:r>
          </w:p>
        </w:tc>
        <w:tc>
          <w:tcPr>
            <w:tcW w:w="1134" w:type="dxa"/>
            <w:tcBorders>
              <w:top w:val="nil"/>
              <w:left w:val="nil"/>
              <w:bottom w:val="single" w:sz="4" w:space="0" w:color="auto"/>
              <w:right w:val="single" w:sz="4" w:space="0" w:color="auto"/>
            </w:tcBorders>
            <w:noWrap/>
            <w:tcMar>
              <w:top w:w="0" w:type="dxa"/>
              <w:left w:w="28" w:type="dxa"/>
              <w:bottom w:w="0" w:type="dxa"/>
              <w:right w:w="28" w:type="dxa"/>
            </w:tcMar>
            <w:hideMark/>
          </w:tcPr>
          <w:p w14:paraId="7413538D" w14:textId="77777777" w:rsidR="0094182F" w:rsidRPr="00216239" w:rsidRDefault="0094182F" w:rsidP="00FF0F59">
            <w:pPr>
              <w:contextualSpacing/>
              <w:jc w:val="center"/>
              <w:rPr>
                <w:color w:val="auto"/>
                <w:lang w:val="kk-KZ" w:eastAsia="en-US"/>
              </w:rPr>
            </w:pPr>
            <w:r w:rsidRPr="00216239">
              <w:rPr>
                <w:color w:val="auto"/>
              </w:rPr>
              <w:t>2625</w:t>
            </w:r>
          </w:p>
        </w:tc>
      </w:tr>
      <w:tr w:rsidR="00216239" w:rsidRPr="00216239" w14:paraId="18421B5F" w14:textId="77777777" w:rsidTr="00FF0F59">
        <w:trPr>
          <w:trHeight w:val="300"/>
        </w:trPr>
        <w:tc>
          <w:tcPr>
            <w:tcW w:w="445"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bottom"/>
            <w:hideMark/>
          </w:tcPr>
          <w:p w14:paraId="585B77B1" w14:textId="77777777" w:rsidR="0094182F" w:rsidRPr="00216239" w:rsidRDefault="0094182F" w:rsidP="00FF0F59">
            <w:pPr>
              <w:contextualSpacing/>
              <w:jc w:val="center"/>
              <w:rPr>
                <w:color w:val="auto"/>
                <w:lang w:val="kk-KZ"/>
              </w:rPr>
            </w:pPr>
            <w:r w:rsidRPr="00216239">
              <w:rPr>
                <w:color w:val="auto"/>
              </w:rPr>
              <w:t>14</w:t>
            </w:r>
          </w:p>
        </w:tc>
        <w:tc>
          <w:tcPr>
            <w:tcW w:w="2009" w:type="dxa"/>
            <w:tcBorders>
              <w:top w:val="nil"/>
              <w:left w:val="nil"/>
              <w:bottom w:val="single" w:sz="4" w:space="0" w:color="auto"/>
              <w:right w:val="single" w:sz="4" w:space="0" w:color="auto"/>
            </w:tcBorders>
            <w:noWrap/>
            <w:tcMar>
              <w:top w:w="0" w:type="dxa"/>
              <w:left w:w="28" w:type="dxa"/>
              <w:bottom w:w="0" w:type="dxa"/>
              <w:right w:w="28" w:type="dxa"/>
            </w:tcMar>
            <w:hideMark/>
          </w:tcPr>
          <w:p w14:paraId="480BB571" w14:textId="77777777" w:rsidR="0094182F" w:rsidRPr="00216239" w:rsidRDefault="0094182F" w:rsidP="00FF0F59">
            <w:pPr>
              <w:contextualSpacing/>
              <w:jc w:val="center"/>
              <w:rPr>
                <w:color w:val="auto"/>
              </w:rPr>
            </w:pPr>
            <w:r w:rsidRPr="00216239">
              <w:rPr>
                <w:color w:val="auto"/>
              </w:rPr>
              <w:t>Туркестанская</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hideMark/>
          </w:tcPr>
          <w:p w14:paraId="043C785C" w14:textId="77777777" w:rsidR="0094182F" w:rsidRPr="00216239" w:rsidRDefault="0094182F" w:rsidP="00FF0F59">
            <w:pPr>
              <w:contextualSpacing/>
              <w:jc w:val="center"/>
              <w:rPr>
                <w:color w:val="auto"/>
                <w:lang w:val="kk-KZ" w:eastAsia="en-US"/>
              </w:rPr>
            </w:pPr>
            <w:r w:rsidRPr="00216239">
              <w:rPr>
                <w:color w:val="auto"/>
              </w:rPr>
              <w:t>158 414,00</w:t>
            </w:r>
          </w:p>
        </w:tc>
        <w:tc>
          <w:tcPr>
            <w:tcW w:w="993" w:type="dxa"/>
            <w:tcBorders>
              <w:top w:val="nil"/>
              <w:left w:val="nil"/>
              <w:bottom w:val="single" w:sz="4" w:space="0" w:color="auto"/>
              <w:right w:val="single" w:sz="4" w:space="0" w:color="auto"/>
            </w:tcBorders>
            <w:noWrap/>
            <w:tcMar>
              <w:top w:w="0" w:type="dxa"/>
              <w:left w:w="28" w:type="dxa"/>
              <w:bottom w:w="0" w:type="dxa"/>
              <w:right w:w="28" w:type="dxa"/>
            </w:tcMar>
            <w:hideMark/>
          </w:tcPr>
          <w:p w14:paraId="1EE21FC4" w14:textId="77777777" w:rsidR="0094182F" w:rsidRPr="00216239" w:rsidRDefault="0094182F" w:rsidP="00FF0F59">
            <w:pPr>
              <w:contextualSpacing/>
              <w:jc w:val="center"/>
              <w:rPr>
                <w:color w:val="auto"/>
                <w:lang w:val="kk-KZ" w:eastAsia="en-US"/>
              </w:rPr>
            </w:pPr>
            <w:r w:rsidRPr="00216239">
              <w:rPr>
                <w:color w:val="auto"/>
              </w:rPr>
              <w:t>6,7%</w:t>
            </w:r>
          </w:p>
        </w:tc>
        <w:tc>
          <w:tcPr>
            <w:tcW w:w="1275" w:type="dxa"/>
            <w:tcBorders>
              <w:top w:val="nil"/>
              <w:left w:val="nil"/>
              <w:bottom w:val="single" w:sz="4" w:space="0" w:color="auto"/>
              <w:right w:val="single" w:sz="4" w:space="0" w:color="auto"/>
            </w:tcBorders>
            <w:noWrap/>
            <w:tcMar>
              <w:top w:w="0" w:type="dxa"/>
              <w:left w:w="28" w:type="dxa"/>
              <w:bottom w:w="0" w:type="dxa"/>
              <w:right w:w="28" w:type="dxa"/>
            </w:tcMar>
            <w:hideMark/>
          </w:tcPr>
          <w:p w14:paraId="63E95A79" w14:textId="77777777" w:rsidR="0094182F" w:rsidRPr="00216239" w:rsidRDefault="0094182F" w:rsidP="00FF0F59">
            <w:pPr>
              <w:contextualSpacing/>
              <w:jc w:val="center"/>
              <w:rPr>
                <w:color w:val="auto"/>
                <w:lang w:val="kk-KZ" w:eastAsia="en-US"/>
              </w:rPr>
            </w:pPr>
            <w:r w:rsidRPr="00216239">
              <w:rPr>
                <w:color w:val="auto"/>
              </w:rPr>
              <w:t>17329</w:t>
            </w:r>
          </w:p>
        </w:tc>
        <w:tc>
          <w:tcPr>
            <w:tcW w:w="1276" w:type="dxa"/>
            <w:tcBorders>
              <w:top w:val="nil"/>
              <w:left w:val="nil"/>
              <w:bottom w:val="single" w:sz="4" w:space="0" w:color="auto"/>
              <w:right w:val="single" w:sz="4" w:space="0" w:color="auto"/>
            </w:tcBorders>
            <w:noWrap/>
            <w:tcMar>
              <w:top w:w="0" w:type="dxa"/>
              <w:left w:w="28" w:type="dxa"/>
              <w:bottom w:w="0" w:type="dxa"/>
              <w:right w:w="28" w:type="dxa"/>
            </w:tcMar>
            <w:hideMark/>
          </w:tcPr>
          <w:p w14:paraId="0A40BD9C" w14:textId="77777777" w:rsidR="0094182F" w:rsidRPr="00216239" w:rsidRDefault="0094182F" w:rsidP="00FF0F59">
            <w:pPr>
              <w:contextualSpacing/>
              <w:jc w:val="center"/>
              <w:rPr>
                <w:color w:val="auto"/>
                <w:lang w:val="kk-KZ" w:eastAsia="en-US"/>
              </w:rPr>
            </w:pPr>
            <w:r w:rsidRPr="00216239">
              <w:rPr>
                <w:color w:val="auto"/>
              </w:rPr>
              <w:t>9</w:t>
            </w:r>
          </w:p>
        </w:tc>
        <w:tc>
          <w:tcPr>
            <w:tcW w:w="992" w:type="dxa"/>
            <w:tcBorders>
              <w:top w:val="nil"/>
              <w:left w:val="nil"/>
              <w:bottom w:val="single" w:sz="4" w:space="0" w:color="auto"/>
              <w:right w:val="single" w:sz="4" w:space="0" w:color="auto"/>
            </w:tcBorders>
            <w:noWrap/>
            <w:tcMar>
              <w:top w:w="0" w:type="dxa"/>
              <w:left w:w="28" w:type="dxa"/>
              <w:bottom w:w="0" w:type="dxa"/>
              <w:right w:w="28" w:type="dxa"/>
            </w:tcMar>
            <w:hideMark/>
          </w:tcPr>
          <w:p w14:paraId="70B6C17E" w14:textId="77777777" w:rsidR="0094182F" w:rsidRPr="00216239" w:rsidRDefault="0094182F" w:rsidP="00FF0F59">
            <w:pPr>
              <w:contextualSpacing/>
              <w:jc w:val="center"/>
              <w:rPr>
                <w:color w:val="auto"/>
                <w:lang w:val="kk-KZ" w:eastAsia="en-US"/>
              </w:rPr>
            </w:pPr>
            <w:r w:rsidRPr="00216239">
              <w:rPr>
                <w:color w:val="auto"/>
              </w:rPr>
              <w:t>37</w:t>
            </w:r>
          </w:p>
        </w:tc>
        <w:tc>
          <w:tcPr>
            <w:tcW w:w="1134" w:type="dxa"/>
            <w:tcBorders>
              <w:top w:val="nil"/>
              <w:left w:val="nil"/>
              <w:bottom w:val="single" w:sz="4" w:space="0" w:color="auto"/>
              <w:right w:val="single" w:sz="4" w:space="0" w:color="auto"/>
            </w:tcBorders>
            <w:noWrap/>
            <w:tcMar>
              <w:top w:w="0" w:type="dxa"/>
              <w:left w:w="28" w:type="dxa"/>
              <w:bottom w:w="0" w:type="dxa"/>
              <w:right w:w="28" w:type="dxa"/>
            </w:tcMar>
            <w:hideMark/>
          </w:tcPr>
          <w:p w14:paraId="2E29E4FA" w14:textId="77777777" w:rsidR="0094182F" w:rsidRPr="00216239" w:rsidRDefault="0094182F" w:rsidP="00FF0F59">
            <w:pPr>
              <w:contextualSpacing/>
              <w:jc w:val="center"/>
              <w:rPr>
                <w:color w:val="auto"/>
                <w:lang w:val="kk-KZ" w:eastAsia="en-US"/>
              </w:rPr>
            </w:pPr>
            <w:r w:rsidRPr="00216239">
              <w:rPr>
                <w:color w:val="auto"/>
              </w:rPr>
              <w:t>9928</w:t>
            </w:r>
          </w:p>
        </w:tc>
      </w:tr>
      <w:tr w:rsidR="00216239" w:rsidRPr="00216239" w14:paraId="20BA883F" w14:textId="77777777" w:rsidTr="00FF0F59">
        <w:trPr>
          <w:trHeight w:val="300"/>
        </w:trPr>
        <w:tc>
          <w:tcPr>
            <w:tcW w:w="445"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bottom"/>
            <w:hideMark/>
          </w:tcPr>
          <w:p w14:paraId="3B20C91A" w14:textId="77777777" w:rsidR="0094182F" w:rsidRPr="00216239" w:rsidRDefault="0094182F" w:rsidP="00FF0F59">
            <w:pPr>
              <w:contextualSpacing/>
              <w:jc w:val="center"/>
              <w:rPr>
                <w:color w:val="auto"/>
                <w:lang w:val="kk-KZ"/>
              </w:rPr>
            </w:pPr>
            <w:r w:rsidRPr="00216239">
              <w:rPr>
                <w:color w:val="auto"/>
              </w:rPr>
              <w:t>15</w:t>
            </w:r>
          </w:p>
        </w:tc>
        <w:tc>
          <w:tcPr>
            <w:tcW w:w="2009" w:type="dxa"/>
            <w:tcBorders>
              <w:top w:val="nil"/>
              <w:left w:val="nil"/>
              <w:bottom w:val="single" w:sz="4" w:space="0" w:color="auto"/>
              <w:right w:val="single" w:sz="4" w:space="0" w:color="auto"/>
            </w:tcBorders>
            <w:noWrap/>
            <w:tcMar>
              <w:top w:w="0" w:type="dxa"/>
              <w:left w:w="28" w:type="dxa"/>
              <w:bottom w:w="0" w:type="dxa"/>
              <w:right w:w="28" w:type="dxa"/>
            </w:tcMar>
            <w:hideMark/>
          </w:tcPr>
          <w:p w14:paraId="73CFD01F" w14:textId="77777777" w:rsidR="0094182F" w:rsidRPr="00216239" w:rsidRDefault="0094182F" w:rsidP="00FF0F59">
            <w:pPr>
              <w:contextualSpacing/>
              <w:jc w:val="center"/>
              <w:rPr>
                <w:color w:val="auto"/>
              </w:rPr>
            </w:pPr>
            <w:r w:rsidRPr="00216239">
              <w:rPr>
                <w:color w:val="auto"/>
              </w:rPr>
              <w:t>г. Нур-Султан</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hideMark/>
          </w:tcPr>
          <w:p w14:paraId="067021C3" w14:textId="77777777" w:rsidR="0094182F" w:rsidRPr="00216239" w:rsidRDefault="0094182F" w:rsidP="00FF0F59">
            <w:pPr>
              <w:contextualSpacing/>
              <w:jc w:val="center"/>
              <w:rPr>
                <w:color w:val="auto"/>
              </w:rPr>
            </w:pPr>
            <w:r w:rsidRPr="00216239">
              <w:rPr>
                <w:color w:val="auto"/>
              </w:rPr>
              <w:t>195 543,00</w:t>
            </w:r>
          </w:p>
        </w:tc>
        <w:tc>
          <w:tcPr>
            <w:tcW w:w="993" w:type="dxa"/>
            <w:tcBorders>
              <w:top w:val="nil"/>
              <w:left w:val="nil"/>
              <w:bottom w:val="single" w:sz="4" w:space="0" w:color="auto"/>
              <w:right w:val="single" w:sz="4" w:space="0" w:color="auto"/>
            </w:tcBorders>
            <w:noWrap/>
            <w:tcMar>
              <w:top w:w="0" w:type="dxa"/>
              <w:left w:w="28" w:type="dxa"/>
              <w:bottom w:w="0" w:type="dxa"/>
              <w:right w:w="28" w:type="dxa"/>
            </w:tcMar>
            <w:hideMark/>
          </w:tcPr>
          <w:p w14:paraId="16CBE9EB" w14:textId="77777777" w:rsidR="0094182F" w:rsidRPr="00216239" w:rsidRDefault="0094182F" w:rsidP="00FF0F59">
            <w:pPr>
              <w:contextualSpacing/>
              <w:jc w:val="center"/>
              <w:rPr>
                <w:color w:val="auto"/>
                <w:lang w:val="kk-KZ"/>
              </w:rPr>
            </w:pPr>
            <w:r w:rsidRPr="00216239">
              <w:rPr>
                <w:color w:val="auto"/>
              </w:rPr>
              <w:t>8,2%</w:t>
            </w:r>
          </w:p>
        </w:tc>
        <w:tc>
          <w:tcPr>
            <w:tcW w:w="1275" w:type="dxa"/>
            <w:tcBorders>
              <w:top w:val="nil"/>
              <w:left w:val="nil"/>
              <w:bottom w:val="single" w:sz="4" w:space="0" w:color="auto"/>
              <w:right w:val="single" w:sz="4" w:space="0" w:color="auto"/>
            </w:tcBorders>
            <w:noWrap/>
            <w:tcMar>
              <w:top w:w="0" w:type="dxa"/>
              <w:left w:w="28" w:type="dxa"/>
              <w:bottom w:w="0" w:type="dxa"/>
              <w:right w:w="28" w:type="dxa"/>
            </w:tcMar>
            <w:hideMark/>
          </w:tcPr>
          <w:p w14:paraId="27D99911" w14:textId="77777777" w:rsidR="0094182F" w:rsidRPr="00216239" w:rsidRDefault="0094182F" w:rsidP="00FF0F59">
            <w:pPr>
              <w:contextualSpacing/>
              <w:jc w:val="center"/>
              <w:rPr>
                <w:color w:val="auto"/>
                <w:lang w:eastAsia="en-US"/>
              </w:rPr>
            </w:pPr>
            <w:r w:rsidRPr="00216239">
              <w:rPr>
                <w:color w:val="auto"/>
              </w:rPr>
              <w:t>2134</w:t>
            </w:r>
          </w:p>
        </w:tc>
        <w:tc>
          <w:tcPr>
            <w:tcW w:w="1276" w:type="dxa"/>
            <w:tcBorders>
              <w:top w:val="nil"/>
              <w:left w:val="nil"/>
              <w:bottom w:val="single" w:sz="4" w:space="0" w:color="auto"/>
              <w:right w:val="single" w:sz="4" w:space="0" w:color="auto"/>
            </w:tcBorders>
            <w:noWrap/>
            <w:tcMar>
              <w:top w:w="0" w:type="dxa"/>
              <w:left w:w="28" w:type="dxa"/>
              <w:bottom w:w="0" w:type="dxa"/>
              <w:right w:w="28" w:type="dxa"/>
            </w:tcMar>
            <w:hideMark/>
          </w:tcPr>
          <w:p w14:paraId="61D1D998" w14:textId="77777777" w:rsidR="0094182F" w:rsidRPr="00216239" w:rsidRDefault="0094182F" w:rsidP="00FF0F59">
            <w:pPr>
              <w:contextualSpacing/>
              <w:jc w:val="center"/>
              <w:rPr>
                <w:color w:val="auto"/>
                <w:lang w:eastAsia="en-US"/>
              </w:rPr>
            </w:pPr>
            <w:r w:rsidRPr="00216239">
              <w:rPr>
                <w:color w:val="auto"/>
              </w:rPr>
              <w:t>92</w:t>
            </w:r>
          </w:p>
        </w:tc>
        <w:tc>
          <w:tcPr>
            <w:tcW w:w="992" w:type="dxa"/>
            <w:tcBorders>
              <w:top w:val="nil"/>
              <w:left w:val="nil"/>
              <w:bottom w:val="single" w:sz="4" w:space="0" w:color="auto"/>
              <w:right w:val="single" w:sz="4" w:space="0" w:color="auto"/>
            </w:tcBorders>
            <w:noWrap/>
            <w:tcMar>
              <w:top w:w="0" w:type="dxa"/>
              <w:left w:w="28" w:type="dxa"/>
              <w:bottom w:w="0" w:type="dxa"/>
              <w:right w:w="28" w:type="dxa"/>
            </w:tcMar>
            <w:hideMark/>
          </w:tcPr>
          <w:p w14:paraId="4A9593CE" w14:textId="77777777" w:rsidR="0094182F" w:rsidRPr="00216239" w:rsidRDefault="0094182F" w:rsidP="00FF0F59">
            <w:pPr>
              <w:contextualSpacing/>
              <w:jc w:val="center"/>
              <w:rPr>
                <w:color w:val="auto"/>
              </w:rPr>
            </w:pPr>
            <w:r w:rsidRPr="00216239">
              <w:rPr>
                <w:color w:val="auto"/>
              </w:rPr>
              <w:t>49</w:t>
            </w:r>
          </w:p>
        </w:tc>
        <w:tc>
          <w:tcPr>
            <w:tcW w:w="1134" w:type="dxa"/>
            <w:tcBorders>
              <w:top w:val="nil"/>
              <w:left w:val="nil"/>
              <w:bottom w:val="single" w:sz="4" w:space="0" w:color="auto"/>
              <w:right w:val="single" w:sz="4" w:space="0" w:color="auto"/>
            </w:tcBorders>
            <w:noWrap/>
            <w:tcMar>
              <w:top w:w="0" w:type="dxa"/>
              <w:left w:w="28" w:type="dxa"/>
              <w:bottom w:w="0" w:type="dxa"/>
              <w:right w:w="28" w:type="dxa"/>
            </w:tcMar>
            <w:hideMark/>
          </w:tcPr>
          <w:p w14:paraId="67541BC7" w14:textId="77777777" w:rsidR="0094182F" w:rsidRPr="00216239" w:rsidRDefault="0094182F" w:rsidP="00FF0F59">
            <w:pPr>
              <w:contextualSpacing/>
              <w:jc w:val="center"/>
              <w:rPr>
                <w:color w:val="auto"/>
              </w:rPr>
            </w:pPr>
            <w:r w:rsidRPr="00216239">
              <w:rPr>
                <w:color w:val="auto"/>
              </w:rPr>
              <w:t>7914</w:t>
            </w:r>
          </w:p>
        </w:tc>
      </w:tr>
      <w:tr w:rsidR="00216239" w:rsidRPr="00216239" w14:paraId="77847473" w14:textId="77777777" w:rsidTr="00FF0F59">
        <w:trPr>
          <w:trHeight w:val="300"/>
        </w:trPr>
        <w:tc>
          <w:tcPr>
            <w:tcW w:w="445"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bottom"/>
            <w:hideMark/>
          </w:tcPr>
          <w:p w14:paraId="2F09A265" w14:textId="77777777" w:rsidR="0094182F" w:rsidRPr="00216239" w:rsidRDefault="0094182F" w:rsidP="00FF0F59">
            <w:pPr>
              <w:contextualSpacing/>
              <w:jc w:val="center"/>
              <w:rPr>
                <w:color w:val="auto"/>
                <w:lang w:val="kk-KZ"/>
              </w:rPr>
            </w:pPr>
            <w:r w:rsidRPr="00216239">
              <w:rPr>
                <w:color w:val="auto"/>
              </w:rPr>
              <w:t>16</w:t>
            </w:r>
          </w:p>
        </w:tc>
        <w:tc>
          <w:tcPr>
            <w:tcW w:w="2009" w:type="dxa"/>
            <w:tcBorders>
              <w:top w:val="nil"/>
              <w:left w:val="nil"/>
              <w:bottom w:val="single" w:sz="4" w:space="0" w:color="auto"/>
              <w:right w:val="single" w:sz="4" w:space="0" w:color="auto"/>
            </w:tcBorders>
            <w:noWrap/>
            <w:tcMar>
              <w:top w:w="0" w:type="dxa"/>
              <w:left w:w="28" w:type="dxa"/>
              <w:bottom w:w="0" w:type="dxa"/>
              <w:right w:w="28" w:type="dxa"/>
            </w:tcMar>
            <w:hideMark/>
          </w:tcPr>
          <w:p w14:paraId="1FA7B770" w14:textId="77777777" w:rsidR="0094182F" w:rsidRPr="00216239" w:rsidRDefault="0094182F" w:rsidP="00FF0F59">
            <w:pPr>
              <w:contextualSpacing/>
              <w:jc w:val="center"/>
              <w:rPr>
                <w:color w:val="auto"/>
                <w:lang w:val="kk-KZ"/>
              </w:rPr>
            </w:pPr>
            <w:r w:rsidRPr="00216239">
              <w:rPr>
                <w:color w:val="auto"/>
              </w:rPr>
              <w:t>г. Алматы</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hideMark/>
          </w:tcPr>
          <w:p w14:paraId="003506C1" w14:textId="77777777" w:rsidR="0094182F" w:rsidRPr="00216239" w:rsidRDefault="0094182F" w:rsidP="00FF0F59">
            <w:pPr>
              <w:contextualSpacing/>
              <w:jc w:val="center"/>
              <w:rPr>
                <w:color w:val="auto"/>
              </w:rPr>
            </w:pPr>
            <w:r w:rsidRPr="00216239">
              <w:rPr>
                <w:color w:val="auto"/>
              </w:rPr>
              <w:t>377 658,00</w:t>
            </w:r>
          </w:p>
        </w:tc>
        <w:tc>
          <w:tcPr>
            <w:tcW w:w="993" w:type="dxa"/>
            <w:tcBorders>
              <w:top w:val="nil"/>
              <w:left w:val="nil"/>
              <w:bottom w:val="single" w:sz="4" w:space="0" w:color="auto"/>
              <w:right w:val="single" w:sz="4" w:space="0" w:color="auto"/>
            </w:tcBorders>
            <w:noWrap/>
            <w:tcMar>
              <w:top w:w="0" w:type="dxa"/>
              <w:left w:w="28" w:type="dxa"/>
              <w:bottom w:w="0" w:type="dxa"/>
              <w:right w:w="28" w:type="dxa"/>
            </w:tcMar>
            <w:hideMark/>
          </w:tcPr>
          <w:p w14:paraId="0D50BD09" w14:textId="77777777" w:rsidR="0094182F" w:rsidRPr="00216239" w:rsidRDefault="0094182F" w:rsidP="00FF0F59">
            <w:pPr>
              <w:contextualSpacing/>
              <w:jc w:val="center"/>
              <w:rPr>
                <w:color w:val="auto"/>
                <w:lang w:val="kk-KZ"/>
              </w:rPr>
            </w:pPr>
            <w:r w:rsidRPr="00216239">
              <w:rPr>
                <w:color w:val="auto"/>
              </w:rPr>
              <w:t>15,8%</w:t>
            </w:r>
          </w:p>
        </w:tc>
        <w:tc>
          <w:tcPr>
            <w:tcW w:w="1275" w:type="dxa"/>
            <w:tcBorders>
              <w:top w:val="nil"/>
              <w:left w:val="nil"/>
              <w:bottom w:val="single" w:sz="4" w:space="0" w:color="auto"/>
              <w:right w:val="single" w:sz="4" w:space="0" w:color="auto"/>
            </w:tcBorders>
            <w:noWrap/>
            <w:tcMar>
              <w:top w:w="0" w:type="dxa"/>
              <w:left w:w="28" w:type="dxa"/>
              <w:bottom w:w="0" w:type="dxa"/>
              <w:right w:w="28" w:type="dxa"/>
            </w:tcMar>
            <w:hideMark/>
          </w:tcPr>
          <w:p w14:paraId="6D70A81B" w14:textId="77777777" w:rsidR="0094182F" w:rsidRPr="00216239" w:rsidRDefault="0094182F" w:rsidP="00FF0F59">
            <w:pPr>
              <w:contextualSpacing/>
              <w:jc w:val="center"/>
              <w:rPr>
                <w:color w:val="auto"/>
                <w:lang w:eastAsia="en-US"/>
              </w:rPr>
            </w:pPr>
            <w:r w:rsidRPr="00216239">
              <w:rPr>
                <w:color w:val="auto"/>
              </w:rPr>
              <w:t>3415</w:t>
            </w:r>
          </w:p>
        </w:tc>
        <w:tc>
          <w:tcPr>
            <w:tcW w:w="1276" w:type="dxa"/>
            <w:tcBorders>
              <w:top w:val="nil"/>
              <w:left w:val="nil"/>
              <w:bottom w:val="single" w:sz="4" w:space="0" w:color="auto"/>
              <w:right w:val="single" w:sz="4" w:space="0" w:color="auto"/>
            </w:tcBorders>
            <w:noWrap/>
            <w:tcMar>
              <w:top w:w="0" w:type="dxa"/>
              <w:left w:w="28" w:type="dxa"/>
              <w:bottom w:w="0" w:type="dxa"/>
              <w:right w:w="28" w:type="dxa"/>
            </w:tcMar>
            <w:hideMark/>
          </w:tcPr>
          <w:p w14:paraId="15EE17FA" w14:textId="77777777" w:rsidR="0094182F" w:rsidRPr="00216239" w:rsidRDefault="0094182F" w:rsidP="00FF0F59">
            <w:pPr>
              <w:contextualSpacing/>
              <w:jc w:val="center"/>
              <w:rPr>
                <w:color w:val="auto"/>
                <w:lang w:eastAsia="en-US"/>
              </w:rPr>
            </w:pPr>
            <w:r w:rsidRPr="00216239">
              <w:rPr>
                <w:color w:val="auto"/>
              </w:rPr>
              <w:t>111</w:t>
            </w:r>
          </w:p>
        </w:tc>
        <w:tc>
          <w:tcPr>
            <w:tcW w:w="992" w:type="dxa"/>
            <w:tcBorders>
              <w:top w:val="nil"/>
              <w:left w:val="nil"/>
              <w:bottom w:val="single" w:sz="4" w:space="0" w:color="auto"/>
              <w:right w:val="single" w:sz="4" w:space="0" w:color="auto"/>
            </w:tcBorders>
            <w:noWrap/>
            <w:tcMar>
              <w:top w:w="0" w:type="dxa"/>
              <w:left w:w="28" w:type="dxa"/>
              <w:bottom w:w="0" w:type="dxa"/>
              <w:right w:w="28" w:type="dxa"/>
            </w:tcMar>
            <w:hideMark/>
          </w:tcPr>
          <w:p w14:paraId="6A1A860B" w14:textId="77777777" w:rsidR="0094182F" w:rsidRPr="00216239" w:rsidRDefault="0094182F" w:rsidP="00FF0F59">
            <w:pPr>
              <w:contextualSpacing/>
              <w:jc w:val="center"/>
              <w:rPr>
                <w:color w:val="auto"/>
                <w:lang w:eastAsia="en-US"/>
              </w:rPr>
            </w:pPr>
            <w:r w:rsidRPr="00216239">
              <w:rPr>
                <w:color w:val="auto"/>
              </w:rPr>
              <w:t>36</w:t>
            </w:r>
          </w:p>
        </w:tc>
        <w:tc>
          <w:tcPr>
            <w:tcW w:w="1134" w:type="dxa"/>
            <w:tcBorders>
              <w:top w:val="nil"/>
              <w:left w:val="nil"/>
              <w:bottom w:val="single" w:sz="4" w:space="0" w:color="auto"/>
              <w:right w:val="single" w:sz="4" w:space="0" w:color="auto"/>
            </w:tcBorders>
            <w:noWrap/>
            <w:tcMar>
              <w:top w:w="0" w:type="dxa"/>
              <w:left w:w="28" w:type="dxa"/>
              <w:bottom w:w="0" w:type="dxa"/>
              <w:right w:w="28" w:type="dxa"/>
            </w:tcMar>
            <w:hideMark/>
          </w:tcPr>
          <w:p w14:paraId="169544FE" w14:textId="77777777" w:rsidR="0094182F" w:rsidRPr="00216239" w:rsidRDefault="0094182F" w:rsidP="00FF0F59">
            <w:pPr>
              <w:contextualSpacing/>
              <w:jc w:val="center"/>
              <w:rPr>
                <w:color w:val="auto"/>
              </w:rPr>
            </w:pPr>
            <w:r w:rsidRPr="00216239">
              <w:rPr>
                <w:color w:val="auto"/>
              </w:rPr>
              <w:t>12463</w:t>
            </w:r>
          </w:p>
        </w:tc>
      </w:tr>
      <w:tr w:rsidR="00216239" w:rsidRPr="00216239" w14:paraId="527F025A" w14:textId="77777777" w:rsidTr="00FF0F59">
        <w:trPr>
          <w:trHeight w:val="300"/>
        </w:trPr>
        <w:tc>
          <w:tcPr>
            <w:tcW w:w="445"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bottom"/>
            <w:hideMark/>
          </w:tcPr>
          <w:p w14:paraId="2F74581D" w14:textId="77777777" w:rsidR="0094182F" w:rsidRPr="00216239" w:rsidRDefault="0094182F" w:rsidP="00FF0F59">
            <w:pPr>
              <w:contextualSpacing/>
              <w:jc w:val="center"/>
              <w:rPr>
                <w:color w:val="auto"/>
              </w:rPr>
            </w:pPr>
            <w:r w:rsidRPr="00216239">
              <w:rPr>
                <w:color w:val="auto"/>
              </w:rPr>
              <w:t>17</w:t>
            </w:r>
          </w:p>
        </w:tc>
        <w:tc>
          <w:tcPr>
            <w:tcW w:w="2009" w:type="dxa"/>
            <w:tcBorders>
              <w:top w:val="nil"/>
              <w:left w:val="nil"/>
              <w:bottom w:val="single" w:sz="4" w:space="0" w:color="auto"/>
              <w:right w:val="single" w:sz="4" w:space="0" w:color="auto"/>
            </w:tcBorders>
            <w:noWrap/>
            <w:tcMar>
              <w:top w:w="0" w:type="dxa"/>
              <w:left w:w="28" w:type="dxa"/>
              <w:bottom w:w="0" w:type="dxa"/>
              <w:right w:w="28" w:type="dxa"/>
            </w:tcMar>
            <w:hideMark/>
          </w:tcPr>
          <w:p w14:paraId="1D651F96" w14:textId="77777777" w:rsidR="0094182F" w:rsidRPr="00216239" w:rsidRDefault="0094182F" w:rsidP="00FF0F59">
            <w:pPr>
              <w:contextualSpacing/>
              <w:jc w:val="center"/>
              <w:rPr>
                <w:color w:val="auto"/>
                <w:lang w:eastAsia="en-US"/>
              </w:rPr>
            </w:pPr>
            <w:r w:rsidRPr="00216239">
              <w:rPr>
                <w:color w:val="auto"/>
              </w:rPr>
              <w:t>г. Шымкент</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hideMark/>
          </w:tcPr>
          <w:p w14:paraId="4B79892B" w14:textId="77777777" w:rsidR="0094182F" w:rsidRPr="00216239" w:rsidRDefault="0094182F" w:rsidP="00FF0F59">
            <w:pPr>
              <w:contextualSpacing/>
              <w:jc w:val="center"/>
              <w:rPr>
                <w:color w:val="auto"/>
                <w:lang w:eastAsia="en-US"/>
              </w:rPr>
            </w:pPr>
            <w:r w:rsidRPr="00216239">
              <w:rPr>
                <w:color w:val="auto"/>
              </w:rPr>
              <w:t>41 463,00</w:t>
            </w:r>
          </w:p>
        </w:tc>
        <w:tc>
          <w:tcPr>
            <w:tcW w:w="993" w:type="dxa"/>
            <w:tcBorders>
              <w:top w:val="nil"/>
              <w:left w:val="nil"/>
              <w:bottom w:val="single" w:sz="4" w:space="0" w:color="auto"/>
              <w:right w:val="single" w:sz="4" w:space="0" w:color="auto"/>
            </w:tcBorders>
            <w:noWrap/>
            <w:tcMar>
              <w:top w:w="0" w:type="dxa"/>
              <w:left w:w="28" w:type="dxa"/>
              <w:bottom w:w="0" w:type="dxa"/>
              <w:right w:w="28" w:type="dxa"/>
            </w:tcMar>
            <w:hideMark/>
          </w:tcPr>
          <w:p w14:paraId="109021FF" w14:textId="77777777" w:rsidR="0094182F" w:rsidRPr="00216239" w:rsidRDefault="0094182F" w:rsidP="00FF0F59">
            <w:pPr>
              <w:contextualSpacing/>
              <w:jc w:val="center"/>
              <w:rPr>
                <w:color w:val="auto"/>
                <w:lang w:eastAsia="en-US"/>
              </w:rPr>
            </w:pPr>
            <w:r w:rsidRPr="00216239">
              <w:rPr>
                <w:color w:val="auto"/>
              </w:rPr>
              <w:t>1,7%</w:t>
            </w:r>
          </w:p>
        </w:tc>
        <w:tc>
          <w:tcPr>
            <w:tcW w:w="1275" w:type="dxa"/>
            <w:tcBorders>
              <w:top w:val="nil"/>
              <w:left w:val="nil"/>
              <w:bottom w:val="single" w:sz="4" w:space="0" w:color="auto"/>
              <w:right w:val="single" w:sz="4" w:space="0" w:color="auto"/>
            </w:tcBorders>
            <w:noWrap/>
            <w:tcMar>
              <w:top w:w="0" w:type="dxa"/>
              <w:left w:w="28" w:type="dxa"/>
              <w:bottom w:w="0" w:type="dxa"/>
              <w:right w:w="28" w:type="dxa"/>
            </w:tcMar>
            <w:hideMark/>
          </w:tcPr>
          <w:p w14:paraId="0474F248" w14:textId="77777777" w:rsidR="0094182F" w:rsidRPr="00216239" w:rsidRDefault="0094182F" w:rsidP="00FF0F59">
            <w:pPr>
              <w:contextualSpacing/>
              <w:jc w:val="center"/>
              <w:rPr>
                <w:color w:val="auto"/>
                <w:lang w:eastAsia="en-US"/>
              </w:rPr>
            </w:pPr>
            <w:r w:rsidRPr="00216239">
              <w:rPr>
                <w:color w:val="auto"/>
              </w:rPr>
              <w:t>2764</w:t>
            </w:r>
          </w:p>
        </w:tc>
        <w:tc>
          <w:tcPr>
            <w:tcW w:w="1276" w:type="dxa"/>
            <w:tcBorders>
              <w:top w:val="nil"/>
              <w:left w:val="nil"/>
              <w:bottom w:val="single" w:sz="4" w:space="0" w:color="auto"/>
              <w:right w:val="single" w:sz="4" w:space="0" w:color="auto"/>
            </w:tcBorders>
            <w:noWrap/>
            <w:tcMar>
              <w:top w:w="0" w:type="dxa"/>
              <w:left w:w="28" w:type="dxa"/>
              <w:bottom w:w="0" w:type="dxa"/>
              <w:right w:w="28" w:type="dxa"/>
            </w:tcMar>
            <w:hideMark/>
          </w:tcPr>
          <w:p w14:paraId="157F61F1" w14:textId="77777777" w:rsidR="0094182F" w:rsidRPr="00216239" w:rsidRDefault="0094182F" w:rsidP="00FF0F59">
            <w:pPr>
              <w:contextualSpacing/>
              <w:jc w:val="center"/>
              <w:rPr>
                <w:color w:val="auto"/>
                <w:lang w:eastAsia="en-US"/>
              </w:rPr>
            </w:pPr>
            <w:r w:rsidRPr="00216239">
              <w:rPr>
                <w:color w:val="auto"/>
              </w:rPr>
              <w:t>15</w:t>
            </w:r>
          </w:p>
        </w:tc>
        <w:tc>
          <w:tcPr>
            <w:tcW w:w="992" w:type="dxa"/>
            <w:tcBorders>
              <w:top w:val="nil"/>
              <w:left w:val="nil"/>
              <w:bottom w:val="single" w:sz="4" w:space="0" w:color="auto"/>
              <w:right w:val="single" w:sz="4" w:space="0" w:color="auto"/>
            </w:tcBorders>
            <w:noWrap/>
            <w:tcMar>
              <w:top w:w="0" w:type="dxa"/>
              <w:left w:w="28" w:type="dxa"/>
              <w:bottom w:w="0" w:type="dxa"/>
              <w:right w:w="28" w:type="dxa"/>
            </w:tcMar>
            <w:hideMark/>
          </w:tcPr>
          <w:p w14:paraId="52DD0D5A" w14:textId="77777777" w:rsidR="0094182F" w:rsidRPr="00216239" w:rsidRDefault="0094182F" w:rsidP="00FF0F59">
            <w:pPr>
              <w:contextualSpacing/>
              <w:jc w:val="center"/>
              <w:rPr>
                <w:color w:val="auto"/>
                <w:lang w:eastAsia="en-US"/>
              </w:rPr>
            </w:pPr>
            <w:r w:rsidRPr="00216239">
              <w:rPr>
                <w:color w:val="auto"/>
              </w:rPr>
              <w:t>24</w:t>
            </w:r>
          </w:p>
        </w:tc>
        <w:tc>
          <w:tcPr>
            <w:tcW w:w="1134" w:type="dxa"/>
            <w:tcBorders>
              <w:top w:val="nil"/>
              <w:left w:val="nil"/>
              <w:bottom w:val="single" w:sz="4" w:space="0" w:color="auto"/>
              <w:right w:val="single" w:sz="4" w:space="0" w:color="auto"/>
            </w:tcBorders>
            <w:noWrap/>
            <w:tcMar>
              <w:top w:w="0" w:type="dxa"/>
              <w:left w:w="28" w:type="dxa"/>
              <w:bottom w:w="0" w:type="dxa"/>
              <w:right w:w="28" w:type="dxa"/>
            </w:tcMar>
            <w:hideMark/>
          </w:tcPr>
          <w:p w14:paraId="05561562" w14:textId="77777777" w:rsidR="0094182F" w:rsidRPr="00216239" w:rsidRDefault="0094182F" w:rsidP="00FF0F59">
            <w:pPr>
              <w:contextualSpacing/>
              <w:jc w:val="center"/>
              <w:rPr>
                <w:color w:val="auto"/>
                <w:lang w:eastAsia="en-US"/>
              </w:rPr>
            </w:pPr>
            <w:r w:rsidRPr="00216239">
              <w:rPr>
                <w:color w:val="auto"/>
              </w:rPr>
              <w:t>84106</w:t>
            </w:r>
          </w:p>
        </w:tc>
      </w:tr>
      <w:tr w:rsidR="00216239" w:rsidRPr="00216239" w14:paraId="4DD833B0" w14:textId="77777777" w:rsidTr="00FF0F59">
        <w:trPr>
          <w:trHeight w:val="300"/>
        </w:trPr>
        <w:tc>
          <w:tcPr>
            <w:tcW w:w="445"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bottom"/>
            <w:hideMark/>
          </w:tcPr>
          <w:p w14:paraId="6D8A27E9" w14:textId="77777777" w:rsidR="0094182F" w:rsidRPr="00216239" w:rsidRDefault="0094182F" w:rsidP="00FF0F59">
            <w:pPr>
              <w:rPr>
                <w:color w:val="auto"/>
                <w:sz w:val="20"/>
                <w:szCs w:val="20"/>
              </w:rPr>
            </w:pPr>
          </w:p>
        </w:tc>
        <w:tc>
          <w:tcPr>
            <w:tcW w:w="2009" w:type="dxa"/>
            <w:tcBorders>
              <w:top w:val="nil"/>
              <w:left w:val="nil"/>
              <w:bottom w:val="single" w:sz="4" w:space="0" w:color="auto"/>
              <w:right w:val="single" w:sz="4" w:space="0" w:color="auto"/>
            </w:tcBorders>
            <w:noWrap/>
            <w:tcMar>
              <w:top w:w="0" w:type="dxa"/>
              <w:left w:w="28" w:type="dxa"/>
              <w:bottom w:w="0" w:type="dxa"/>
              <w:right w:w="28" w:type="dxa"/>
            </w:tcMar>
            <w:vAlign w:val="bottom"/>
            <w:hideMark/>
          </w:tcPr>
          <w:p w14:paraId="682A0117" w14:textId="77777777" w:rsidR="0094182F" w:rsidRPr="00216239" w:rsidRDefault="0094182F" w:rsidP="00FF0F59">
            <w:pPr>
              <w:contextualSpacing/>
              <w:jc w:val="center"/>
              <w:rPr>
                <w:b/>
                <w:bCs/>
                <w:color w:val="auto"/>
                <w:lang w:val="kk-KZ"/>
              </w:rPr>
            </w:pPr>
            <w:r w:rsidRPr="00216239">
              <w:rPr>
                <w:b/>
                <w:bCs/>
                <w:color w:val="auto"/>
              </w:rPr>
              <w:t>Общий итог</w:t>
            </w:r>
          </w:p>
        </w:tc>
        <w:tc>
          <w:tcPr>
            <w:tcW w:w="1417" w:type="dxa"/>
            <w:tcBorders>
              <w:top w:val="nil"/>
              <w:left w:val="nil"/>
              <w:bottom w:val="single" w:sz="4" w:space="0" w:color="auto"/>
              <w:right w:val="single" w:sz="4" w:space="0" w:color="auto"/>
            </w:tcBorders>
            <w:noWrap/>
            <w:tcMar>
              <w:top w:w="0" w:type="dxa"/>
              <w:left w:w="28" w:type="dxa"/>
              <w:bottom w:w="0" w:type="dxa"/>
              <w:right w:w="28" w:type="dxa"/>
            </w:tcMar>
            <w:hideMark/>
          </w:tcPr>
          <w:p w14:paraId="2E78BB7A" w14:textId="77777777" w:rsidR="0094182F" w:rsidRPr="00216239" w:rsidRDefault="0094182F" w:rsidP="00FF0F59">
            <w:pPr>
              <w:contextualSpacing/>
              <w:jc w:val="center"/>
              <w:rPr>
                <w:b/>
                <w:bCs/>
                <w:color w:val="auto"/>
              </w:rPr>
            </w:pPr>
            <w:r w:rsidRPr="00216239">
              <w:rPr>
                <w:color w:val="auto"/>
              </w:rPr>
              <w:t>2 383 890,00</w:t>
            </w:r>
          </w:p>
        </w:tc>
        <w:tc>
          <w:tcPr>
            <w:tcW w:w="993" w:type="dxa"/>
            <w:tcBorders>
              <w:top w:val="nil"/>
              <w:left w:val="nil"/>
              <w:bottom w:val="single" w:sz="4" w:space="0" w:color="auto"/>
              <w:right w:val="single" w:sz="4" w:space="0" w:color="auto"/>
            </w:tcBorders>
            <w:noWrap/>
            <w:tcMar>
              <w:top w:w="0" w:type="dxa"/>
              <w:left w:w="28" w:type="dxa"/>
              <w:bottom w:w="0" w:type="dxa"/>
              <w:right w:w="28" w:type="dxa"/>
            </w:tcMar>
            <w:hideMark/>
          </w:tcPr>
          <w:p w14:paraId="68BD1547" w14:textId="77777777" w:rsidR="0094182F" w:rsidRPr="00216239" w:rsidRDefault="0094182F" w:rsidP="00FF0F59">
            <w:pPr>
              <w:contextualSpacing/>
              <w:jc w:val="center"/>
              <w:rPr>
                <w:b/>
                <w:bCs/>
                <w:color w:val="auto"/>
                <w:lang w:val="kk-KZ"/>
              </w:rPr>
            </w:pPr>
            <w:r w:rsidRPr="00216239">
              <w:rPr>
                <w:color w:val="auto"/>
              </w:rPr>
              <w:t>100,0%</w:t>
            </w:r>
          </w:p>
        </w:tc>
        <w:tc>
          <w:tcPr>
            <w:tcW w:w="1275" w:type="dxa"/>
            <w:tcBorders>
              <w:top w:val="nil"/>
              <w:left w:val="nil"/>
              <w:bottom w:val="single" w:sz="4" w:space="0" w:color="auto"/>
              <w:right w:val="single" w:sz="4" w:space="0" w:color="auto"/>
            </w:tcBorders>
            <w:noWrap/>
            <w:tcMar>
              <w:top w:w="0" w:type="dxa"/>
              <w:left w:w="28" w:type="dxa"/>
              <w:bottom w:w="0" w:type="dxa"/>
              <w:right w:w="28" w:type="dxa"/>
            </w:tcMar>
            <w:hideMark/>
          </w:tcPr>
          <w:p w14:paraId="38E63C74" w14:textId="77777777" w:rsidR="0094182F" w:rsidRPr="00216239" w:rsidRDefault="0094182F" w:rsidP="00FF0F59">
            <w:pPr>
              <w:contextualSpacing/>
              <w:jc w:val="center"/>
              <w:rPr>
                <w:b/>
                <w:bCs/>
                <w:color w:val="auto"/>
              </w:rPr>
            </w:pPr>
            <w:r w:rsidRPr="00216239">
              <w:rPr>
                <w:color w:val="auto"/>
              </w:rPr>
              <w:t>69360</w:t>
            </w:r>
          </w:p>
        </w:tc>
        <w:tc>
          <w:tcPr>
            <w:tcW w:w="1276" w:type="dxa"/>
            <w:tcBorders>
              <w:top w:val="nil"/>
              <w:left w:val="nil"/>
              <w:bottom w:val="single" w:sz="4" w:space="0" w:color="auto"/>
              <w:right w:val="single" w:sz="4" w:space="0" w:color="auto"/>
            </w:tcBorders>
            <w:noWrap/>
            <w:tcMar>
              <w:top w:w="0" w:type="dxa"/>
              <w:left w:w="28" w:type="dxa"/>
              <w:bottom w:w="0" w:type="dxa"/>
              <w:right w:w="28" w:type="dxa"/>
            </w:tcMar>
            <w:hideMark/>
          </w:tcPr>
          <w:p w14:paraId="73AA0B0D" w14:textId="77777777" w:rsidR="0094182F" w:rsidRPr="00216239" w:rsidRDefault="0094182F" w:rsidP="00FF0F59">
            <w:pPr>
              <w:contextualSpacing/>
              <w:jc w:val="center"/>
              <w:rPr>
                <w:b/>
                <w:bCs/>
                <w:color w:val="auto"/>
              </w:rPr>
            </w:pPr>
            <w:r w:rsidRPr="00216239">
              <w:rPr>
                <w:b/>
                <w:bCs/>
                <w:color w:val="auto"/>
              </w:rPr>
              <w:t>34</w:t>
            </w:r>
          </w:p>
        </w:tc>
        <w:tc>
          <w:tcPr>
            <w:tcW w:w="992" w:type="dxa"/>
            <w:tcBorders>
              <w:top w:val="nil"/>
              <w:left w:val="nil"/>
              <w:bottom w:val="single" w:sz="4" w:space="0" w:color="auto"/>
              <w:right w:val="single" w:sz="4" w:space="0" w:color="auto"/>
            </w:tcBorders>
            <w:noWrap/>
            <w:tcMar>
              <w:top w:w="0" w:type="dxa"/>
              <w:left w:w="28" w:type="dxa"/>
              <w:bottom w:w="0" w:type="dxa"/>
              <w:right w:w="28" w:type="dxa"/>
            </w:tcMar>
            <w:hideMark/>
          </w:tcPr>
          <w:p w14:paraId="5D76D48D" w14:textId="77777777" w:rsidR="0094182F" w:rsidRPr="00216239" w:rsidRDefault="0094182F" w:rsidP="00FF0F59">
            <w:pPr>
              <w:contextualSpacing/>
              <w:jc w:val="center"/>
              <w:rPr>
                <w:b/>
                <w:bCs/>
                <w:color w:val="auto"/>
              </w:rPr>
            </w:pPr>
            <w:r w:rsidRPr="00216239">
              <w:rPr>
                <w:b/>
                <w:bCs/>
                <w:color w:val="auto"/>
              </w:rPr>
              <w:t>34</w:t>
            </w:r>
          </w:p>
        </w:tc>
        <w:tc>
          <w:tcPr>
            <w:tcW w:w="1134" w:type="dxa"/>
            <w:tcBorders>
              <w:top w:val="nil"/>
              <w:left w:val="nil"/>
              <w:bottom w:val="single" w:sz="4" w:space="0" w:color="auto"/>
              <w:right w:val="single" w:sz="4" w:space="0" w:color="auto"/>
            </w:tcBorders>
            <w:noWrap/>
            <w:tcMar>
              <w:top w:w="0" w:type="dxa"/>
              <w:left w:w="28" w:type="dxa"/>
              <w:bottom w:w="0" w:type="dxa"/>
              <w:right w:w="28" w:type="dxa"/>
            </w:tcMar>
            <w:hideMark/>
          </w:tcPr>
          <w:p w14:paraId="32C5158B" w14:textId="77777777" w:rsidR="0094182F" w:rsidRPr="00216239" w:rsidRDefault="0094182F" w:rsidP="00FF0F59">
            <w:pPr>
              <w:contextualSpacing/>
              <w:jc w:val="center"/>
              <w:rPr>
                <w:b/>
                <w:bCs/>
                <w:color w:val="auto"/>
              </w:rPr>
            </w:pPr>
            <w:r w:rsidRPr="00216239">
              <w:rPr>
                <w:color w:val="auto"/>
              </w:rPr>
              <w:t>172701</w:t>
            </w:r>
          </w:p>
        </w:tc>
      </w:tr>
    </w:tbl>
    <w:p w14:paraId="49A57FBC" w14:textId="54A97051" w:rsidR="00014C1A" w:rsidRDefault="00014C1A">
      <w:pPr>
        <w:ind w:firstLine="426"/>
        <w:jc w:val="both"/>
      </w:pPr>
    </w:p>
    <w:p w14:paraId="6D223A38" w14:textId="7997FDBF" w:rsidR="00014C1A" w:rsidRDefault="00003B0B">
      <w:pPr>
        <w:ind w:firstLine="426"/>
        <w:jc w:val="both"/>
      </w:pPr>
      <w:r>
        <w:t>В отраслевом разрезе по сумме выданных кредитов лидирует сфера промышленности 4</w:t>
      </w:r>
      <w:r w:rsidR="0094182F">
        <w:t>5</w:t>
      </w:r>
      <w:r>
        <w:t xml:space="preserve">% от общей суммы освоенных средств. В наименьшем объеме финансировались проекты сферы </w:t>
      </w:r>
      <w:r w:rsidR="0094182F">
        <w:t>строительства</w:t>
      </w:r>
      <w:r>
        <w:t xml:space="preserve">, общая сумма финансирования по которым составила </w:t>
      </w:r>
      <w:r w:rsidR="0094182F">
        <w:t>3</w:t>
      </w:r>
      <w:r>
        <w:t>% от общей суммы выданных средств.</w:t>
      </w:r>
    </w:p>
    <w:p w14:paraId="3D981471" w14:textId="30E53486" w:rsidR="0094182F" w:rsidRPr="00EC6B6B" w:rsidRDefault="00003B0B" w:rsidP="00EC6B6B">
      <w:pPr>
        <w:ind w:firstLine="426"/>
        <w:jc w:val="right"/>
        <w:rPr>
          <w:b/>
          <w:i/>
          <w:color w:val="auto"/>
        </w:rPr>
      </w:pPr>
      <w:r w:rsidRPr="00EC6B6B">
        <w:rPr>
          <w:b/>
          <w:bCs/>
          <w:color w:val="auto"/>
        </w:rPr>
        <w:t> </w:t>
      </w:r>
      <w:r w:rsidR="0094182F" w:rsidRPr="00EC6B6B">
        <w:rPr>
          <w:i/>
          <w:color w:val="auto"/>
        </w:rPr>
        <w:t>в млн тенге</w:t>
      </w:r>
    </w:p>
    <w:tbl>
      <w:tblPr>
        <w:tblW w:w="8104" w:type="dxa"/>
        <w:jc w:val="center"/>
        <w:tblLook w:val="04A0" w:firstRow="1" w:lastRow="0" w:firstColumn="1" w:lastColumn="0" w:noHBand="0" w:noVBand="1"/>
      </w:tblPr>
      <w:tblGrid>
        <w:gridCol w:w="2964"/>
        <w:gridCol w:w="2520"/>
        <w:gridCol w:w="2620"/>
      </w:tblGrid>
      <w:tr w:rsidR="00982FE8" w:rsidRPr="00982FE8" w14:paraId="2401F950" w14:textId="77777777" w:rsidTr="00FF0F59">
        <w:trPr>
          <w:trHeight w:hRule="exact" w:val="284"/>
          <w:jc w:val="center"/>
        </w:trPr>
        <w:tc>
          <w:tcPr>
            <w:tcW w:w="2964" w:type="dxa"/>
            <w:tcBorders>
              <w:top w:val="single" w:sz="4" w:space="0" w:color="000000"/>
              <w:left w:val="single" w:sz="4" w:space="0" w:color="000000"/>
              <w:bottom w:val="single" w:sz="4" w:space="0" w:color="000000"/>
              <w:right w:val="single" w:sz="4" w:space="0" w:color="000000"/>
            </w:tcBorders>
            <w:vAlign w:val="center"/>
            <w:hideMark/>
          </w:tcPr>
          <w:p w14:paraId="0E54FA16" w14:textId="77777777" w:rsidR="0094182F" w:rsidRPr="00EC6B6B" w:rsidRDefault="0094182F" w:rsidP="00FF0F59">
            <w:pPr>
              <w:contextualSpacing/>
              <w:jc w:val="center"/>
              <w:rPr>
                <w:color w:val="auto"/>
              </w:rPr>
            </w:pPr>
            <w:r w:rsidRPr="00EC6B6B">
              <w:rPr>
                <w:color w:val="auto"/>
              </w:rPr>
              <w:t>Промышленность</w:t>
            </w:r>
          </w:p>
        </w:tc>
        <w:tc>
          <w:tcPr>
            <w:tcW w:w="2520" w:type="dxa"/>
            <w:tcBorders>
              <w:top w:val="single" w:sz="4" w:space="0" w:color="000000"/>
              <w:left w:val="nil"/>
              <w:bottom w:val="single" w:sz="4" w:space="0" w:color="000000"/>
              <w:right w:val="single" w:sz="4" w:space="0" w:color="000000"/>
            </w:tcBorders>
            <w:hideMark/>
          </w:tcPr>
          <w:p w14:paraId="6D0AD8F5" w14:textId="77777777" w:rsidR="0094182F" w:rsidRPr="00EC6B6B" w:rsidRDefault="0094182F" w:rsidP="00FF0F59">
            <w:pPr>
              <w:contextualSpacing/>
              <w:jc w:val="center"/>
              <w:rPr>
                <w:color w:val="auto"/>
                <w:lang w:val="kk-KZ" w:eastAsia="en-US"/>
              </w:rPr>
            </w:pPr>
            <w:r w:rsidRPr="00EC6B6B">
              <w:rPr>
                <w:color w:val="auto"/>
              </w:rPr>
              <w:t>1 080 383,00</w:t>
            </w:r>
          </w:p>
        </w:tc>
        <w:tc>
          <w:tcPr>
            <w:tcW w:w="2620" w:type="dxa"/>
            <w:tcBorders>
              <w:top w:val="single" w:sz="4" w:space="0" w:color="000000"/>
              <w:left w:val="nil"/>
              <w:bottom w:val="single" w:sz="4" w:space="0" w:color="000000"/>
              <w:right w:val="single" w:sz="4" w:space="0" w:color="000000"/>
            </w:tcBorders>
            <w:hideMark/>
          </w:tcPr>
          <w:p w14:paraId="54322D55" w14:textId="77777777" w:rsidR="0094182F" w:rsidRPr="00EC6B6B" w:rsidRDefault="0094182F" w:rsidP="00FF0F59">
            <w:pPr>
              <w:contextualSpacing/>
              <w:jc w:val="center"/>
              <w:rPr>
                <w:color w:val="auto"/>
                <w:lang w:val="kk-KZ" w:eastAsia="en-US"/>
              </w:rPr>
            </w:pPr>
            <w:r w:rsidRPr="00EC6B6B">
              <w:rPr>
                <w:color w:val="auto"/>
              </w:rPr>
              <w:t>45%</w:t>
            </w:r>
          </w:p>
        </w:tc>
      </w:tr>
      <w:tr w:rsidR="00982FE8" w:rsidRPr="00982FE8" w14:paraId="30CA9B05" w14:textId="77777777" w:rsidTr="00FF0F59">
        <w:trPr>
          <w:trHeight w:hRule="exact" w:val="284"/>
          <w:jc w:val="center"/>
        </w:trPr>
        <w:tc>
          <w:tcPr>
            <w:tcW w:w="2964" w:type="dxa"/>
            <w:tcBorders>
              <w:top w:val="nil"/>
              <w:left w:val="single" w:sz="4" w:space="0" w:color="000000"/>
              <w:bottom w:val="single" w:sz="4" w:space="0" w:color="000000"/>
              <w:right w:val="single" w:sz="4" w:space="0" w:color="000000"/>
            </w:tcBorders>
            <w:vAlign w:val="center"/>
            <w:hideMark/>
          </w:tcPr>
          <w:p w14:paraId="7AC626F5" w14:textId="77777777" w:rsidR="0094182F" w:rsidRPr="00EC6B6B" w:rsidRDefault="0094182F" w:rsidP="00FF0F59">
            <w:pPr>
              <w:contextualSpacing/>
              <w:jc w:val="center"/>
              <w:rPr>
                <w:color w:val="auto"/>
                <w:lang w:val="kk-KZ" w:eastAsia="en-US"/>
              </w:rPr>
            </w:pPr>
            <w:r w:rsidRPr="00EC6B6B">
              <w:rPr>
                <w:color w:val="auto"/>
              </w:rPr>
              <w:t>Торговля</w:t>
            </w:r>
          </w:p>
        </w:tc>
        <w:tc>
          <w:tcPr>
            <w:tcW w:w="2520" w:type="dxa"/>
            <w:tcBorders>
              <w:top w:val="nil"/>
              <w:left w:val="nil"/>
              <w:bottom w:val="single" w:sz="4" w:space="0" w:color="000000"/>
              <w:right w:val="single" w:sz="4" w:space="0" w:color="000000"/>
            </w:tcBorders>
            <w:hideMark/>
          </w:tcPr>
          <w:p w14:paraId="1ED18E5A" w14:textId="77777777" w:rsidR="0094182F" w:rsidRPr="00EC6B6B" w:rsidRDefault="0094182F" w:rsidP="00FF0F59">
            <w:pPr>
              <w:contextualSpacing/>
              <w:jc w:val="center"/>
              <w:rPr>
                <w:color w:val="auto"/>
                <w:lang w:val="kk-KZ" w:eastAsia="en-US"/>
              </w:rPr>
            </w:pPr>
            <w:r w:rsidRPr="00EC6B6B">
              <w:rPr>
                <w:color w:val="auto"/>
              </w:rPr>
              <w:t>673 037,00</w:t>
            </w:r>
          </w:p>
        </w:tc>
        <w:tc>
          <w:tcPr>
            <w:tcW w:w="2620" w:type="dxa"/>
            <w:tcBorders>
              <w:top w:val="nil"/>
              <w:left w:val="nil"/>
              <w:bottom w:val="single" w:sz="4" w:space="0" w:color="000000"/>
              <w:right w:val="single" w:sz="4" w:space="0" w:color="000000"/>
            </w:tcBorders>
            <w:hideMark/>
          </w:tcPr>
          <w:p w14:paraId="684EC439" w14:textId="77777777" w:rsidR="0094182F" w:rsidRPr="00EC6B6B" w:rsidRDefault="0094182F" w:rsidP="00FF0F59">
            <w:pPr>
              <w:contextualSpacing/>
              <w:jc w:val="center"/>
              <w:rPr>
                <w:color w:val="auto"/>
                <w:lang w:val="kk-KZ" w:eastAsia="en-US"/>
              </w:rPr>
            </w:pPr>
            <w:r w:rsidRPr="00EC6B6B">
              <w:rPr>
                <w:color w:val="auto"/>
              </w:rPr>
              <w:t>28%</w:t>
            </w:r>
          </w:p>
        </w:tc>
      </w:tr>
      <w:tr w:rsidR="00982FE8" w:rsidRPr="00982FE8" w14:paraId="4B56F03F" w14:textId="77777777" w:rsidTr="00FF0F59">
        <w:trPr>
          <w:trHeight w:hRule="exact" w:val="284"/>
          <w:jc w:val="center"/>
        </w:trPr>
        <w:tc>
          <w:tcPr>
            <w:tcW w:w="2964" w:type="dxa"/>
            <w:tcBorders>
              <w:top w:val="nil"/>
              <w:left w:val="single" w:sz="4" w:space="0" w:color="000000"/>
              <w:bottom w:val="single" w:sz="4" w:space="0" w:color="000000"/>
              <w:right w:val="single" w:sz="4" w:space="0" w:color="000000"/>
            </w:tcBorders>
            <w:vAlign w:val="center"/>
            <w:hideMark/>
          </w:tcPr>
          <w:p w14:paraId="67A9E043" w14:textId="77777777" w:rsidR="0094182F" w:rsidRPr="00EC6B6B" w:rsidRDefault="0094182F" w:rsidP="00FF0F59">
            <w:pPr>
              <w:contextualSpacing/>
              <w:jc w:val="center"/>
              <w:rPr>
                <w:color w:val="auto"/>
                <w:lang w:val="kk-KZ" w:eastAsia="en-US"/>
              </w:rPr>
            </w:pPr>
            <w:r w:rsidRPr="00EC6B6B">
              <w:rPr>
                <w:color w:val="auto"/>
              </w:rPr>
              <w:t>Прочие услуги</w:t>
            </w:r>
          </w:p>
        </w:tc>
        <w:tc>
          <w:tcPr>
            <w:tcW w:w="2520" w:type="dxa"/>
            <w:tcBorders>
              <w:top w:val="nil"/>
              <w:left w:val="nil"/>
              <w:bottom w:val="single" w:sz="4" w:space="0" w:color="000000"/>
              <w:right w:val="single" w:sz="4" w:space="0" w:color="000000"/>
            </w:tcBorders>
            <w:hideMark/>
          </w:tcPr>
          <w:p w14:paraId="7B0D552F" w14:textId="77777777" w:rsidR="0094182F" w:rsidRPr="00EC6B6B" w:rsidRDefault="0094182F" w:rsidP="00FF0F59">
            <w:pPr>
              <w:contextualSpacing/>
              <w:jc w:val="center"/>
              <w:rPr>
                <w:color w:val="auto"/>
                <w:lang w:val="kk-KZ" w:eastAsia="en-US"/>
              </w:rPr>
            </w:pPr>
            <w:r w:rsidRPr="00EC6B6B">
              <w:rPr>
                <w:color w:val="auto"/>
              </w:rPr>
              <w:t>346 614,00</w:t>
            </w:r>
          </w:p>
        </w:tc>
        <w:tc>
          <w:tcPr>
            <w:tcW w:w="2620" w:type="dxa"/>
            <w:tcBorders>
              <w:top w:val="nil"/>
              <w:left w:val="nil"/>
              <w:bottom w:val="single" w:sz="4" w:space="0" w:color="000000"/>
              <w:right w:val="single" w:sz="4" w:space="0" w:color="000000"/>
            </w:tcBorders>
            <w:hideMark/>
          </w:tcPr>
          <w:p w14:paraId="4989ED07" w14:textId="77777777" w:rsidR="0094182F" w:rsidRPr="00EC6B6B" w:rsidRDefault="0094182F" w:rsidP="00FF0F59">
            <w:pPr>
              <w:contextualSpacing/>
              <w:jc w:val="center"/>
              <w:rPr>
                <w:color w:val="auto"/>
                <w:lang w:val="kk-KZ" w:eastAsia="en-US"/>
              </w:rPr>
            </w:pPr>
            <w:r w:rsidRPr="00EC6B6B">
              <w:rPr>
                <w:color w:val="auto"/>
              </w:rPr>
              <w:t>15%</w:t>
            </w:r>
          </w:p>
        </w:tc>
      </w:tr>
      <w:tr w:rsidR="00982FE8" w:rsidRPr="00982FE8" w14:paraId="35714B2B" w14:textId="77777777" w:rsidTr="00FF0F59">
        <w:trPr>
          <w:trHeight w:hRule="exact" w:val="284"/>
          <w:jc w:val="center"/>
        </w:trPr>
        <w:tc>
          <w:tcPr>
            <w:tcW w:w="2964" w:type="dxa"/>
            <w:tcBorders>
              <w:top w:val="nil"/>
              <w:left w:val="single" w:sz="4" w:space="0" w:color="000000"/>
              <w:bottom w:val="single" w:sz="4" w:space="0" w:color="000000"/>
              <w:right w:val="single" w:sz="4" w:space="0" w:color="000000"/>
            </w:tcBorders>
            <w:vAlign w:val="center"/>
            <w:hideMark/>
          </w:tcPr>
          <w:p w14:paraId="614B7E65" w14:textId="77777777" w:rsidR="0094182F" w:rsidRPr="00EC6B6B" w:rsidRDefault="0094182F" w:rsidP="00FF0F59">
            <w:pPr>
              <w:contextualSpacing/>
              <w:jc w:val="center"/>
              <w:rPr>
                <w:color w:val="auto"/>
                <w:lang w:val="kk-KZ" w:eastAsia="en-US"/>
              </w:rPr>
            </w:pPr>
            <w:r w:rsidRPr="00EC6B6B">
              <w:rPr>
                <w:color w:val="auto"/>
              </w:rPr>
              <w:t>Транспорт</w:t>
            </w:r>
          </w:p>
        </w:tc>
        <w:tc>
          <w:tcPr>
            <w:tcW w:w="2520" w:type="dxa"/>
            <w:tcBorders>
              <w:top w:val="nil"/>
              <w:left w:val="nil"/>
              <w:bottom w:val="single" w:sz="4" w:space="0" w:color="000000"/>
              <w:right w:val="single" w:sz="4" w:space="0" w:color="000000"/>
            </w:tcBorders>
            <w:hideMark/>
          </w:tcPr>
          <w:p w14:paraId="283CDCE8" w14:textId="77777777" w:rsidR="0094182F" w:rsidRPr="00EC6B6B" w:rsidRDefault="0094182F" w:rsidP="00FF0F59">
            <w:pPr>
              <w:contextualSpacing/>
              <w:jc w:val="center"/>
              <w:rPr>
                <w:color w:val="auto"/>
                <w:lang w:val="kk-KZ" w:eastAsia="en-US"/>
              </w:rPr>
            </w:pPr>
            <w:r w:rsidRPr="00EC6B6B">
              <w:rPr>
                <w:color w:val="auto"/>
              </w:rPr>
              <w:t>111 368,00</w:t>
            </w:r>
          </w:p>
        </w:tc>
        <w:tc>
          <w:tcPr>
            <w:tcW w:w="2620" w:type="dxa"/>
            <w:tcBorders>
              <w:top w:val="nil"/>
              <w:left w:val="nil"/>
              <w:bottom w:val="single" w:sz="4" w:space="0" w:color="000000"/>
              <w:right w:val="single" w:sz="4" w:space="0" w:color="000000"/>
            </w:tcBorders>
            <w:hideMark/>
          </w:tcPr>
          <w:p w14:paraId="41F37F8E" w14:textId="77777777" w:rsidR="0094182F" w:rsidRPr="00EC6B6B" w:rsidRDefault="0094182F" w:rsidP="00FF0F59">
            <w:pPr>
              <w:contextualSpacing/>
              <w:jc w:val="center"/>
              <w:rPr>
                <w:color w:val="auto"/>
                <w:lang w:val="kk-KZ" w:eastAsia="en-US"/>
              </w:rPr>
            </w:pPr>
            <w:r w:rsidRPr="00EC6B6B">
              <w:rPr>
                <w:color w:val="auto"/>
              </w:rPr>
              <w:t>5%</w:t>
            </w:r>
          </w:p>
        </w:tc>
      </w:tr>
      <w:tr w:rsidR="00982FE8" w:rsidRPr="00982FE8" w14:paraId="2500BDE6" w14:textId="77777777" w:rsidTr="00FF0F59">
        <w:trPr>
          <w:trHeight w:hRule="exact" w:val="284"/>
          <w:jc w:val="center"/>
        </w:trPr>
        <w:tc>
          <w:tcPr>
            <w:tcW w:w="2964" w:type="dxa"/>
            <w:tcBorders>
              <w:top w:val="nil"/>
              <w:left w:val="single" w:sz="4" w:space="0" w:color="000000"/>
              <w:bottom w:val="single" w:sz="4" w:space="0" w:color="000000"/>
              <w:right w:val="single" w:sz="4" w:space="0" w:color="000000"/>
            </w:tcBorders>
            <w:vAlign w:val="center"/>
            <w:hideMark/>
          </w:tcPr>
          <w:p w14:paraId="565D8FA1" w14:textId="77777777" w:rsidR="0094182F" w:rsidRPr="00EC6B6B" w:rsidRDefault="0094182F" w:rsidP="00FF0F59">
            <w:pPr>
              <w:contextualSpacing/>
              <w:jc w:val="center"/>
              <w:rPr>
                <w:color w:val="auto"/>
                <w:lang w:val="kk-KZ" w:eastAsia="en-US"/>
              </w:rPr>
            </w:pPr>
            <w:r w:rsidRPr="00EC6B6B">
              <w:rPr>
                <w:color w:val="auto"/>
              </w:rPr>
              <w:t>Сельское</w:t>
            </w:r>
          </w:p>
        </w:tc>
        <w:tc>
          <w:tcPr>
            <w:tcW w:w="2520" w:type="dxa"/>
            <w:tcBorders>
              <w:top w:val="nil"/>
              <w:left w:val="nil"/>
              <w:bottom w:val="single" w:sz="4" w:space="0" w:color="000000"/>
              <w:right w:val="single" w:sz="4" w:space="0" w:color="000000"/>
            </w:tcBorders>
            <w:hideMark/>
          </w:tcPr>
          <w:p w14:paraId="5E5BF99D" w14:textId="77777777" w:rsidR="0094182F" w:rsidRPr="00EC6B6B" w:rsidRDefault="0094182F" w:rsidP="00FF0F59">
            <w:pPr>
              <w:contextualSpacing/>
              <w:jc w:val="center"/>
              <w:rPr>
                <w:color w:val="auto"/>
                <w:lang w:val="kk-KZ" w:eastAsia="en-US"/>
              </w:rPr>
            </w:pPr>
            <w:r w:rsidRPr="00EC6B6B">
              <w:rPr>
                <w:color w:val="auto"/>
              </w:rPr>
              <w:t>95 627,00</w:t>
            </w:r>
          </w:p>
        </w:tc>
        <w:tc>
          <w:tcPr>
            <w:tcW w:w="2620" w:type="dxa"/>
            <w:tcBorders>
              <w:top w:val="nil"/>
              <w:left w:val="nil"/>
              <w:bottom w:val="single" w:sz="4" w:space="0" w:color="000000"/>
              <w:right w:val="single" w:sz="4" w:space="0" w:color="000000"/>
            </w:tcBorders>
            <w:hideMark/>
          </w:tcPr>
          <w:p w14:paraId="0983EBFB" w14:textId="77777777" w:rsidR="0094182F" w:rsidRPr="00EC6B6B" w:rsidRDefault="0094182F" w:rsidP="00FF0F59">
            <w:pPr>
              <w:contextualSpacing/>
              <w:jc w:val="center"/>
              <w:rPr>
                <w:color w:val="auto"/>
                <w:lang w:val="kk-KZ" w:eastAsia="en-US"/>
              </w:rPr>
            </w:pPr>
            <w:r w:rsidRPr="00EC6B6B">
              <w:rPr>
                <w:color w:val="auto"/>
              </w:rPr>
              <w:t>4%</w:t>
            </w:r>
          </w:p>
        </w:tc>
      </w:tr>
      <w:tr w:rsidR="00982FE8" w:rsidRPr="00982FE8" w14:paraId="29908EC8" w14:textId="77777777" w:rsidTr="00FF0F59">
        <w:trPr>
          <w:trHeight w:hRule="exact" w:val="284"/>
          <w:jc w:val="center"/>
        </w:trPr>
        <w:tc>
          <w:tcPr>
            <w:tcW w:w="2964" w:type="dxa"/>
            <w:tcBorders>
              <w:top w:val="nil"/>
              <w:left w:val="single" w:sz="4" w:space="0" w:color="000000"/>
              <w:bottom w:val="single" w:sz="4" w:space="0" w:color="000000"/>
              <w:right w:val="single" w:sz="4" w:space="0" w:color="000000"/>
            </w:tcBorders>
            <w:vAlign w:val="center"/>
            <w:hideMark/>
          </w:tcPr>
          <w:p w14:paraId="2881DF7F" w14:textId="77777777" w:rsidR="0094182F" w:rsidRPr="00EC6B6B" w:rsidRDefault="0094182F" w:rsidP="00FF0F59">
            <w:pPr>
              <w:contextualSpacing/>
              <w:jc w:val="center"/>
              <w:rPr>
                <w:color w:val="auto"/>
                <w:lang w:val="kk-KZ" w:eastAsia="en-US"/>
              </w:rPr>
            </w:pPr>
            <w:r w:rsidRPr="00EC6B6B">
              <w:rPr>
                <w:color w:val="auto"/>
              </w:rPr>
              <w:t>Строительство</w:t>
            </w:r>
          </w:p>
        </w:tc>
        <w:tc>
          <w:tcPr>
            <w:tcW w:w="2520" w:type="dxa"/>
            <w:tcBorders>
              <w:top w:val="nil"/>
              <w:left w:val="nil"/>
              <w:bottom w:val="single" w:sz="4" w:space="0" w:color="000000"/>
              <w:right w:val="single" w:sz="4" w:space="0" w:color="000000"/>
            </w:tcBorders>
            <w:hideMark/>
          </w:tcPr>
          <w:p w14:paraId="1967D4CB" w14:textId="77777777" w:rsidR="0094182F" w:rsidRPr="00EC6B6B" w:rsidRDefault="0094182F" w:rsidP="00FF0F59">
            <w:pPr>
              <w:contextualSpacing/>
              <w:jc w:val="center"/>
              <w:rPr>
                <w:color w:val="auto"/>
                <w:lang w:val="kk-KZ" w:eastAsia="en-US"/>
              </w:rPr>
            </w:pPr>
            <w:r w:rsidRPr="00EC6B6B">
              <w:rPr>
                <w:color w:val="auto"/>
              </w:rPr>
              <w:t>76 861,00</w:t>
            </w:r>
          </w:p>
        </w:tc>
        <w:tc>
          <w:tcPr>
            <w:tcW w:w="2620" w:type="dxa"/>
            <w:tcBorders>
              <w:top w:val="nil"/>
              <w:left w:val="nil"/>
              <w:bottom w:val="single" w:sz="4" w:space="0" w:color="000000"/>
              <w:right w:val="single" w:sz="4" w:space="0" w:color="000000"/>
            </w:tcBorders>
            <w:hideMark/>
          </w:tcPr>
          <w:p w14:paraId="3F5B386D" w14:textId="77777777" w:rsidR="0094182F" w:rsidRPr="00EC6B6B" w:rsidRDefault="0094182F" w:rsidP="00FF0F59">
            <w:pPr>
              <w:contextualSpacing/>
              <w:jc w:val="center"/>
              <w:rPr>
                <w:color w:val="auto"/>
                <w:lang w:val="kk-KZ" w:eastAsia="en-US"/>
              </w:rPr>
            </w:pPr>
            <w:r w:rsidRPr="00EC6B6B">
              <w:rPr>
                <w:color w:val="auto"/>
              </w:rPr>
              <w:t>3%</w:t>
            </w:r>
          </w:p>
        </w:tc>
      </w:tr>
      <w:tr w:rsidR="00982FE8" w:rsidRPr="00982FE8" w14:paraId="6563634C" w14:textId="77777777" w:rsidTr="00FF0F59">
        <w:trPr>
          <w:trHeight w:val="300"/>
          <w:jc w:val="center"/>
        </w:trPr>
        <w:tc>
          <w:tcPr>
            <w:tcW w:w="2964" w:type="dxa"/>
            <w:tcBorders>
              <w:top w:val="nil"/>
              <w:left w:val="single" w:sz="4" w:space="0" w:color="000000"/>
              <w:bottom w:val="single" w:sz="4" w:space="0" w:color="000000"/>
              <w:right w:val="single" w:sz="4" w:space="0" w:color="000000"/>
            </w:tcBorders>
            <w:vAlign w:val="center"/>
            <w:hideMark/>
          </w:tcPr>
          <w:p w14:paraId="29C258B0" w14:textId="77777777" w:rsidR="0094182F" w:rsidRPr="00EC6B6B" w:rsidRDefault="0094182F" w:rsidP="00FF0F59">
            <w:pPr>
              <w:contextualSpacing/>
              <w:jc w:val="center"/>
              <w:rPr>
                <w:b/>
                <w:bCs/>
                <w:color w:val="auto"/>
              </w:rPr>
            </w:pPr>
            <w:r w:rsidRPr="00EC6B6B">
              <w:rPr>
                <w:b/>
                <w:bCs/>
                <w:color w:val="auto"/>
              </w:rPr>
              <w:t>Итого:</w:t>
            </w:r>
          </w:p>
        </w:tc>
        <w:tc>
          <w:tcPr>
            <w:tcW w:w="2520" w:type="dxa"/>
            <w:tcBorders>
              <w:top w:val="nil"/>
              <w:left w:val="nil"/>
              <w:bottom w:val="single" w:sz="4" w:space="0" w:color="000000"/>
              <w:right w:val="single" w:sz="4" w:space="0" w:color="000000"/>
            </w:tcBorders>
            <w:vAlign w:val="center"/>
            <w:hideMark/>
          </w:tcPr>
          <w:p w14:paraId="1FD11D19" w14:textId="77777777" w:rsidR="0094182F" w:rsidRPr="00EC6B6B" w:rsidRDefault="0094182F" w:rsidP="00FF0F59">
            <w:pPr>
              <w:contextualSpacing/>
              <w:jc w:val="center"/>
              <w:rPr>
                <w:b/>
                <w:bCs/>
                <w:color w:val="auto"/>
              </w:rPr>
            </w:pPr>
            <w:r w:rsidRPr="00EC6B6B">
              <w:rPr>
                <w:b/>
                <w:bCs/>
                <w:color w:val="auto"/>
              </w:rPr>
              <w:t>2 383 890</w:t>
            </w:r>
          </w:p>
        </w:tc>
        <w:tc>
          <w:tcPr>
            <w:tcW w:w="2620" w:type="dxa"/>
            <w:tcBorders>
              <w:top w:val="nil"/>
              <w:left w:val="nil"/>
              <w:bottom w:val="single" w:sz="4" w:space="0" w:color="000000"/>
              <w:right w:val="single" w:sz="4" w:space="0" w:color="000000"/>
            </w:tcBorders>
            <w:vAlign w:val="center"/>
            <w:hideMark/>
          </w:tcPr>
          <w:p w14:paraId="345614A9" w14:textId="77777777" w:rsidR="0094182F" w:rsidRPr="00EC6B6B" w:rsidRDefault="0094182F" w:rsidP="00FF0F59">
            <w:pPr>
              <w:contextualSpacing/>
              <w:jc w:val="center"/>
              <w:rPr>
                <w:b/>
                <w:bCs/>
                <w:color w:val="auto"/>
              </w:rPr>
            </w:pPr>
            <w:r w:rsidRPr="00EC6B6B">
              <w:rPr>
                <w:b/>
                <w:bCs/>
                <w:color w:val="auto"/>
              </w:rPr>
              <w:t>100%</w:t>
            </w:r>
          </w:p>
        </w:tc>
      </w:tr>
    </w:tbl>
    <w:p w14:paraId="2EEC62D3" w14:textId="77777777" w:rsidR="0094182F" w:rsidRDefault="0094182F">
      <w:pPr>
        <w:ind w:firstLine="426"/>
        <w:jc w:val="both"/>
      </w:pPr>
    </w:p>
    <w:p w14:paraId="54D8FF93" w14:textId="77777777" w:rsidR="00014C1A" w:rsidRDefault="00003B0B">
      <w:pPr>
        <w:ind w:firstLine="426"/>
        <w:jc w:val="center"/>
      </w:pPr>
      <w:r>
        <w:rPr>
          <w:b/>
          <w:bCs/>
        </w:rPr>
        <w:t>Результаты реализации программ обусловленного размещения средств в разрезе отраслей</w:t>
      </w:r>
    </w:p>
    <w:p w14:paraId="23D18F42" w14:textId="77777777" w:rsidR="00014C1A" w:rsidRDefault="00003B0B">
      <w:pPr>
        <w:ind w:firstLine="426"/>
        <w:jc w:val="center"/>
      </w:pPr>
      <w:r>
        <w:t> </w:t>
      </w:r>
    </w:p>
    <w:p w14:paraId="39719D2F" w14:textId="56EE81FF" w:rsidR="00014C1A" w:rsidRDefault="00014C1A">
      <w:pPr>
        <w:ind w:firstLine="426"/>
        <w:jc w:val="center"/>
      </w:pPr>
    </w:p>
    <w:p w14:paraId="56A7F57B" w14:textId="0C3830EC" w:rsidR="00014C1A" w:rsidRDefault="00003B0B">
      <w:pPr>
        <w:ind w:firstLine="426"/>
        <w:jc w:val="center"/>
      </w:pPr>
      <w:r>
        <w:rPr>
          <w:i/>
          <w:iCs/>
        </w:rPr>
        <w:t> </w:t>
      </w:r>
      <w:r w:rsidR="0094182F" w:rsidRPr="00311A1C">
        <w:rPr>
          <w:noProof/>
          <w:color w:val="00B050"/>
        </w:rPr>
        <w:drawing>
          <wp:inline distT="0" distB="0" distL="0" distR="0" wp14:anchorId="077CA4C4" wp14:editId="5EC37A50">
            <wp:extent cx="5461635" cy="2933700"/>
            <wp:effectExtent l="0" t="0" r="5715" b="0"/>
            <wp:docPr id="27" name="Диаграмма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4814E9F" w14:textId="1A78D0AA" w:rsidR="00014C1A" w:rsidRDefault="00003B0B">
      <w:pPr>
        <w:ind w:firstLine="426"/>
        <w:jc w:val="center"/>
      </w:pPr>
      <w:r>
        <w:rPr>
          <w:i/>
          <w:iCs/>
        </w:rPr>
        <w:t xml:space="preserve">Источник: </w:t>
      </w:r>
      <w:r w:rsidR="008C49A3">
        <w:rPr>
          <w:i/>
          <w:iCs/>
        </w:rPr>
        <w:t>данные</w:t>
      </w:r>
      <w:r>
        <w:rPr>
          <w:i/>
          <w:iCs/>
        </w:rPr>
        <w:t xml:space="preserve"> Фонда </w:t>
      </w:r>
      <w:r w:rsidR="008C49A3">
        <w:rPr>
          <w:i/>
          <w:iCs/>
        </w:rPr>
        <w:t>«Даму»</w:t>
      </w:r>
    </w:p>
    <w:p w14:paraId="6FB1E28E" w14:textId="77777777" w:rsidR="00014C1A" w:rsidRDefault="00003B0B">
      <w:pPr>
        <w:ind w:firstLine="426"/>
        <w:jc w:val="both"/>
      </w:pPr>
      <w:r>
        <w:t> </w:t>
      </w:r>
    </w:p>
    <w:p w14:paraId="164D55A7" w14:textId="624E1B8F" w:rsidR="00014C1A" w:rsidRPr="00EC6B6B" w:rsidRDefault="00003B0B">
      <w:pPr>
        <w:ind w:firstLine="426"/>
        <w:jc w:val="both"/>
        <w:rPr>
          <w:color w:val="auto"/>
        </w:rPr>
      </w:pPr>
      <w:r>
        <w:t>Благодаря запуску с 2010 года Программы «ДКБ</w:t>
      </w:r>
      <w:r w:rsidR="001C1E49">
        <w:t>-</w:t>
      </w:r>
      <w:r>
        <w:t xml:space="preserve">2020» значительно расширился спектр инструментов поддержки предпринимательства через Фонд «Даму». В частности, было </w:t>
      </w:r>
      <w:r>
        <w:lastRenderedPageBreak/>
        <w:t xml:space="preserve">начато субсидирование ставок вознаграждения по кредитам субъектов ММСП, гарантирование кредитов субъектов ММСП, а также стартовала масштабная реализация программ обучения и консультационной поддержки ММСП, что позволило существенно увеличить клиентскую базу Фонда, как финансового агента и оператора </w:t>
      </w:r>
      <w:r w:rsidR="00267D72">
        <w:t>П</w:t>
      </w:r>
      <w:r>
        <w:t>рограммы «ДКБ</w:t>
      </w:r>
      <w:r w:rsidR="001C1E49">
        <w:t>-</w:t>
      </w:r>
      <w:r>
        <w:t>2020»</w:t>
      </w:r>
      <w:r w:rsidR="00DB2BED">
        <w:t xml:space="preserve"> / «</w:t>
      </w:r>
      <w:r w:rsidR="00DB2BED" w:rsidRPr="00EC6B6B">
        <w:rPr>
          <w:color w:val="auto"/>
        </w:rPr>
        <w:t>ДКБ</w:t>
      </w:r>
      <w:r w:rsidR="001C1E49">
        <w:rPr>
          <w:color w:val="auto"/>
        </w:rPr>
        <w:t>-</w:t>
      </w:r>
      <w:r w:rsidR="00DB2BED" w:rsidRPr="00EC6B6B">
        <w:rPr>
          <w:color w:val="auto"/>
        </w:rPr>
        <w:t>2025»</w:t>
      </w:r>
      <w:r w:rsidRPr="00EC6B6B">
        <w:rPr>
          <w:color w:val="auto"/>
        </w:rPr>
        <w:t>.</w:t>
      </w:r>
    </w:p>
    <w:p w14:paraId="2FDBA915" w14:textId="6491AB60" w:rsidR="00014C1A" w:rsidRPr="00EC6B6B" w:rsidRDefault="00003B0B">
      <w:pPr>
        <w:ind w:firstLine="426"/>
        <w:jc w:val="both"/>
        <w:rPr>
          <w:color w:val="auto"/>
        </w:rPr>
      </w:pPr>
      <w:r w:rsidRPr="00EC6B6B">
        <w:rPr>
          <w:color w:val="auto"/>
        </w:rPr>
        <w:t xml:space="preserve">По состоянию на </w:t>
      </w:r>
      <w:r w:rsidR="00DB2BED" w:rsidRPr="00EC6B6B">
        <w:rPr>
          <w:bCs/>
          <w:color w:val="auto"/>
        </w:rPr>
        <w:t xml:space="preserve">1 января 2021 </w:t>
      </w:r>
      <w:r w:rsidRPr="00EC6B6B">
        <w:rPr>
          <w:color w:val="auto"/>
        </w:rPr>
        <w:t>года в рамках Программ «ДКБ</w:t>
      </w:r>
      <w:r w:rsidR="001C1E49">
        <w:rPr>
          <w:color w:val="auto"/>
        </w:rPr>
        <w:t>-</w:t>
      </w:r>
      <w:r w:rsidRPr="00EC6B6B">
        <w:rPr>
          <w:color w:val="auto"/>
        </w:rPr>
        <w:t>2020»</w:t>
      </w:r>
      <w:r w:rsidR="005178D6">
        <w:rPr>
          <w:color w:val="auto"/>
        </w:rPr>
        <w:t xml:space="preserve"> / </w:t>
      </w:r>
      <w:r w:rsidR="005178D6">
        <w:t>«</w:t>
      </w:r>
      <w:r w:rsidR="005178D6" w:rsidRPr="00EC6B6B">
        <w:rPr>
          <w:color w:val="auto"/>
        </w:rPr>
        <w:t>ДКБ</w:t>
      </w:r>
      <w:r w:rsidR="005178D6">
        <w:rPr>
          <w:color w:val="auto"/>
        </w:rPr>
        <w:t>-</w:t>
      </w:r>
      <w:r w:rsidR="005178D6" w:rsidRPr="00EC6B6B">
        <w:rPr>
          <w:color w:val="auto"/>
        </w:rPr>
        <w:t>2025»</w:t>
      </w:r>
      <w:r w:rsidRPr="00EC6B6B">
        <w:rPr>
          <w:color w:val="auto"/>
        </w:rPr>
        <w:t xml:space="preserve"> </w:t>
      </w:r>
      <w:r w:rsidR="00DB2BED" w:rsidRPr="00EC6B6B">
        <w:rPr>
          <w:color w:val="auto"/>
        </w:rPr>
        <w:t xml:space="preserve">по Республике </w:t>
      </w:r>
      <w:r w:rsidRPr="00EC6B6B">
        <w:rPr>
          <w:color w:val="auto"/>
        </w:rPr>
        <w:t xml:space="preserve">заключено </w:t>
      </w:r>
      <w:r w:rsidR="002C4C12">
        <w:rPr>
          <w:color w:val="auto"/>
        </w:rPr>
        <w:t>29</w:t>
      </w:r>
      <w:r w:rsidR="00E27470">
        <w:rPr>
          <w:color w:val="auto"/>
        </w:rPr>
        <w:t> </w:t>
      </w:r>
      <w:r w:rsidR="002C4C12">
        <w:rPr>
          <w:color w:val="auto"/>
        </w:rPr>
        <w:t>349</w:t>
      </w:r>
      <w:r w:rsidR="00E27470">
        <w:rPr>
          <w:color w:val="auto"/>
        </w:rPr>
        <w:t xml:space="preserve"> </w:t>
      </w:r>
      <w:r w:rsidRPr="00EC6B6B">
        <w:rPr>
          <w:color w:val="auto"/>
        </w:rPr>
        <w:t xml:space="preserve">договоров субсидирования на общую сумму кредитов </w:t>
      </w:r>
      <w:r w:rsidR="002C4C12" w:rsidRPr="002C4C12">
        <w:rPr>
          <w:color w:val="auto"/>
        </w:rPr>
        <w:t>3 523</w:t>
      </w:r>
      <w:r w:rsidR="002C4C12" w:rsidRPr="00EE795A">
        <w:rPr>
          <w:sz w:val="20"/>
          <w:szCs w:val="20"/>
        </w:rPr>
        <w:t xml:space="preserve"> </w:t>
      </w:r>
      <w:r w:rsidR="00B646B3">
        <w:rPr>
          <w:color w:val="auto"/>
        </w:rPr>
        <w:t>млрд</w:t>
      </w:r>
      <w:r w:rsidRPr="00EC6B6B">
        <w:rPr>
          <w:color w:val="auto"/>
        </w:rPr>
        <w:t xml:space="preserve"> тенге, в т.ч.:</w:t>
      </w:r>
    </w:p>
    <w:p w14:paraId="18F25410" w14:textId="37ABFBC3" w:rsidR="00014C1A" w:rsidRDefault="00003B0B">
      <w:pPr>
        <w:ind w:firstLine="426"/>
        <w:jc w:val="both"/>
        <w:rPr>
          <w:color w:val="auto"/>
        </w:rPr>
      </w:pPr>
      <w:r w:rsidRPr="00EC6B6B">
        <w:rPr>
          <w:color w:val="auto"/>
        </w:rPr>
        <w:t xml:space="preserve">• </w:t>
      </w:r>
      <w:r w:rsidR="00A629D3">
        <w:rPr>
          <w:color w:val="auto"/>
        </w:rPr>
        <w:t>П</w:t>
      </w:r>
      <w:r w:rsidRPr="00EC6B6B">
        <w:rPr>
          <w:color w:val="auto"/>
        </w:rPr>
        <w:t xml:space="preserve">о 1 направлению заключено </w:t>
      </w:r>
      <w:r w:rsidR="006F5C9B">
        <w:rPr>
          <w:color w:val="auto"/>
        </w:rPr>
        <w:t>5</w:t>
      </w:r>
      <w:r w:rsidR="00A629D3">
        <w:rPr>
          <w:color w:val="auto"/>
        </w:rPr>
        <w:t> </w:t>
      </w:r>
      <w:r w:rsidR="006F5C9B">
        <w:rPr>
          <w:color w:val="auto"/>
        </w:rPr>
        <w:t>795</w:t>
      </w:r>
      <w:r w:rsidR="00A629D3">
        <w:rPr>
          <w:color w:val="auto"/>
        </w:rPr>
        <w:t xml:space="preserve"> </w:t>
      </w:r>
      <w:r w:rsidRPr="00EC6B6B">
        <w:rPr>
          <w:color w:val="auto"/>
        </w:rPr>
        <w:t>договоров субсидирования на общую сумму кредитов</w:t>
      </w:r>
      <w:r w:rsidR="006F5C9B">
        <w:rPr>
          <w:color w:val="auto"/>
        </w:rPr>
        <w:t xml:space="preserve"> 384,5</w:t>
      </w:r>
      <w:r w:rsidRPr="00EC6B6B">
        <w:rPr>
          <w:color w:val="auto"/>
        </w:rPr>
        <w:t xml:space="preserve"> </w:t>
      </w:r>
      <w:r w:rsidR="00B646B3">
        <w:rPr>
          <w:color w:val="auto"/>
        </w:rPr>
        <w:t>млрд</w:t>
      </w:r>
      <w:r w:rsidRPr="00EC6B6B">
        <w:rPr>
          <w:color w:val="auto"/>
        </w:rPr>
        <w:t xml:space="preserve"> тенге</w:t>
      </w:r>
      <w:r w:rsidR="00F65EDC">
        <w:rPr>
          <w:color w:val="auto"/>
        </w:rPr>
        <w:t xml:space="preserve"> </w:t>
      </w:r>
      <w:r w:rsidR="00F65EDC" w:rsidRPr="00F65EDC">
        <w:t>(за исключением портфельного субсидирования)</w:t>
      </w:r>
      <w:r w:rsidRPr="00EC6B6B">
        <w:rPr>
          <w:color w:val="auto"/>
        </w:rPr>
        <w:t>,</w:t>
      </w:r>
    </w:p>
    <w:p w14:paraId="3743ABAA" w14:textId="7A7E1518" w:rsidR="00A629D3" w:rsidRPr="00EC6B6B" w:rsidRDefault="00A629D3">
      <w:pPr>
        <w:ind w:firstLine="426"/>
        <w:jc w:val="both"/>
        <w:rPr>
          <w:color w:val="auto"/>
        </w:rPr>
      </w:pPr>
      <w:r>
        <w:t>в</w:t>
      </w:r>
      <w:r w:rsidRPr="00490C0A">
        <w:t xml:space="preserve"> рамках </w:t>
      </w:r>
      <w:r w:rsidRPr="00490C0A">
        <w:rPr>
          <w:bCs/>
        </w:rPr>
        <w:t>портфельного субсидирования заключено 2</w:t>
      </w:r>
      <w:r w:rsidR="002F5F65">
        <w:rPr>
          <w:bCs/>
        </w:rPr>
        <w:t xml:space="preserve"> </w:t>
      </w:r>
      <w:r w:rsidRPr="00490C0A">
        <w:rPr>
          <w:bCs/>
        </w:rPr>
        <w:t>143 догов</w:t>
      </w:r>
      <w:r>
        <w:rPr>
          <w:bCs/>
        </w:rPr>
        <w:t>о</w:t>
      </w:r>
      <w:r w:rsidRPr="00490C0A">
        <w:rPr>
          <w:bCs/>
        </w:rPr>
        <w:t>ра</w:t>
      </w:r>
      <w:r>
        <w:rPr>
          <w:bCs/>
        </w:rPr>
        <w:t xml:space="preserve"> на сумму кредита 11,6 млрд </w:t>
      </w:r>
      <w:r w:rsidRPr="00490C0A">
        <w:rPr>
          <w:bCs/>
        </w:rPr>
        <w:t>тенге</w:t>
      </w:r>
      <w:r>
        <w:rPr>
          <w:bCs/>
        </w:rPr>
        <w:t>.</w:t>
      </w:r>
    </w:p>
    <w:p w14:paraId="238F9D97" w14:textId="3C09F777" w:rsidR="00014C1A" w:rsidRPr="00A66772" w:rsidRDefault="00003B0B">
      <w:pPr>
        <w:ind w:firstLine="426"/>
        <w:jc w:val="both"/>
        <w:rPr>
          <w:color w:val="auto"/>
        </w:rPr>
      </w:pPr>
      <w:r w:rsidRPr="00EC6B6B">
        <w:rPr>
          <w:color w:val="auto"/>
        </w:rPr>
        <w:t xml:space="preserve">• </w:t>
      </w:r>
      <w:r w:rsidR="00A629D3">
        <w:rPr>
          <w:color w:val="auto"/>
        </w:rPr>
        <w:t>П</w:t>
      </w:r>
      <w:r w:rsidRPr="00EC6B6B">
        <w:rPr>
          <w:color w:val="auto"/>
        </w:rPr>
        <w:t xml:space="preserve">о 2 направлению заключено </w:t>
      </w:r>
      <w:r w:rsidR="00DB2BED" w:rsidRPr="00EC6B6B">
        <w:rPr>
          <w:color w:val="auto"/>
        </w:rPr>
        <w:t>12 371</w:t>
      </w:r>
      <w:r w:rsidRPr="00EC6B6B">
        <w:rPr>
          <w:color w:val="auto"/>
        </w:rPr>
        <w:t xml:space="preserve"> договора субсидирования на общую сумму кредитов </w:t>
      </w:r>
      <w:r w:rsidR="00DB2BED" w:rsidRPr="00EC6B6B">
        <w:rPr>
          <w:color w:val="auto"/>
        </w:rPr>
        <w:t>2 018</w:t>
      </w:r>
      <w:r w:rsidRPr="00EC6B6B">
        <w:rPr>
          <w:color w:val="auto"/>
        </w:rPr>
        <w:t xml:space="preserve"> </w:t>
      </w:r>
      <w:r w:rsidR="00B646B3">
        <w:rPr>
          <w:color w:val="auto"/>
        </w:rPr>
        <w:t>млрд</w:t>
      </w:r>
      <w:r w:rsidRPr="00EC6B6B">
        <w:rPr>
          <w:color w:val="auto"/>
        </w:rPr>
        <w:t xml:space="preserve"> тенге,</w:t>
      </w:r>
    </w:p>
    <w:p w14:paraId="1C90835F" w14:textId="466A46EC" w:rsidR="00490C0A" w:rsidRPr="00490C0A" w:rsidRDefault="00A629D3" w:rsidP="00490C0A">
      <w:pPr>
        <w:ind w:firstLine="426"/>
        <w:jc w:val="both"/>
      </w:pPr>
      <w:r>
        <w:t>в</w:t>
      </w:r>
      <w:r w:rsidRPr="00490C0A">
        <w:t xml:space="preserve"> рамках </w:t>
      </w:r>
      <w:r w:rsidR="00490C0A" w:rsidRPr="00490C0A">
        <w:t>«Оздоровление предпринимательского сектора» ГП «ДКБ 2020» заключено 203 догов</w:t>
      </w:r>
      <w:r w:rsidR="00490C0A">
        <w:t xml:space="preserve">ора на сумму кредита 206,8 млрд </w:t>
      </w:r>
      <w:r w:rsidR="00490C0A" w:rsidRPr="00490C0A">
        <w:t>тенге.</w:t>
      </w:r>
    </w:p>
    <w:p w14:paraId="579D7109" w14:textId="73DE420E" w:rsidR="00014C1A" w:rsidRPr="00EC6B6B" w:rsidRDefault="00003B0B">
      <w:pPr>
        <w:ind w:firstLine="426"/>
        <w:jc w:val="both"/>
        <w:rPr>
          <w:color w:val="auto"/>
        </w:rPr>
      </w:pPr>
      <w:r w:rsidRPr="00EC6B6B">
        <w:rPr>
          <w:color w:val="auto"/>
        </w:rPr>
        <w:t xml:space="preserve">• </w:t>
      </w:r>
      <w:r w:rsidR="00296A21">
        <w:rPr>
          <w:color w:val="auto"/>
        </w:rPr>
        <w:t>П</w:t>
      </w:r>
      <w:r w:rsidRPr="00EC6B6B">
        <w:rPr>
          <w:color w:val="auto"/>
        </w:rPr>
        <w:t xml:space="preserve">о 3 направлению заключено </w:t>
      </w:r>
      <w:r w:rsidR="00DB2BED" w:rsidRPr="00EC6B6B">
        <w:rPr>
          <w:color w:val="auto"/>
        </w:rPr>
        <w:t xml:space="preserve">383 </w:t>
      </w:r>
      <w:r w:rsidRPr="00EC6B6B">
        <w:rPr>
          <w:color w:val="auto"/>
        </w:rPr>
        <w:t xml:space="preserve">договоров субсидирования на общую сумму кредитов </w:t>
      </w:r>
      <w:r w:rsidR="00DB2BED" w:rsidRPr="00EC6B6B">
        <w:rPr>
          <w:color w:val="auto"/>
        </w:rPr>
        <w:t>476</w:t>
      </w:r>
      <w:r w:rsidRPr="00EC6B6B">
        <w:rPr>
          <w:color w:val="auto"/>
        </w:rPr>
        <w:t xml:space="preserve"> </w:t>
      </w:r>
      <w:r w:rsidR="00B646B3">
        <w:rPr>
          <w:color w:val="auto"/>
        </w:rPr>
        <w:t>млрд</w:t>
      </w:r>
      <w:r w:rsidRPr="00EC6B6B">
        <w:rPr>
          <w:color w:val="auto"/>
        </w:rPr>
        <w:t xml:space="preserve"> тенге.</w:t>
      </w:r>
    </w:p>
    <w:p w14:paraId="1D249118" w14:textId="78673834" w:rsidR="00DB2BED" w:rsidRPr="009A09CD" w:rsidRDefault="00DB2BED" w:rsidP="009A09CD">
      <w:pPr>
        <w:pStyle w:val="af1"/>
        <w:numPr>
          <w:ilvl w:val="0"/>
          <w:numId w:val="11"/>
        </w:numPr>
        <w:tabs>
          <w:tab w:val="left" w:pos="709"/>
        </w:tabs>
        <w:ind w:left="0" w:firstLine="426"/>
        <w:jc w:val="both"/>
        <w:rPr>
          <w:rFonts w:ascii="Times New Roman" w:hAnsi="Times New Roman"/>
          <w:sz w:val="24"/>
          <w:szCs w:val="24"/>
        </w:rPr>
      </w:pPr>
      <w:r w:rsidRPr="009A09CD">
        <w:rPr>
          <w:rFonts w:ascii="Times New Roman" w:hAnsi="Times New Roman"/>
          <w:sz w:val="24"/>
          <w:szCs w:val="24"/>
        </w:rPr>
        <w:t>По пострадавшим секторам экономики поддержано 8</w:t>
      </w:r>
      <w:r w:rsidR="00E27470">
        <w:rPr>
          <w:rFonts w:ascii="Times New Roman" w:hAnsi="Times New Roman"/>
          <w:sz w:val="24"/>
          <w:szCs w:val="24"/>
          <w:lang w:val="ru-RU"/>
        </w:rPr>
        <w:t xml:space="preserve"> </w:t>
      </w:r>
      <w:r w:rsidRPr="009A09CD">
        <w:rPr>
          <w:rFonts w:ascii="Times New Roman" w:hAnsi="Times New Roman"/>
          <w:sz w:val="24"/>
          <w:szCs w:val="24"/>
        </w:rPr>
        <w:t>454 проекта на сумму кредитов 426,8 млрд тенге.</w:t>
      </w:r>
    </w:p>
    <w:p w14:paraId="4E06558A" w14:textId="094F3FDA" w:rsidR="00014C1A" w:rsidRPr="00EC6B6B" w:rsidRDefault="00003B0B">
      <w:pPr>
        <w:ind w:firstLine="426"/>
        <w:jc w:val="both"/>
        <w:rPr>
          <w:color w:val="auto"/>
        </w:rPr>
      </w:pPr>
      <w:r w:rsidRPr="00EC6B6B">
        <w:rPr>
          <w:color w:val="auto"/>
        </w:rPr>
        <w:t xml:space="preserve">В региональном разрезе наибольшее количество договоров субсидирования подписано в </w:t>
      </w:r>
      <w:r w:rsidR="00A6641F" w:rsidRPr="00EC6B6B">
        <w:rPr>
          <w:color w:val="auto"/>
        </w:rPr>
        <w:t>г. Алматы (2601 ед.) и в Карагандинской области (2293 ед.)</w:t>
      </w:r>
      <w:r w:rsidRPr="00EC6B6B">
        <w:rPr>
          <w:color w:val="auto"/>
        </w:rPr>
        <w:t xml:space="preserve">. Наименьшее количество подписанных договоров субсидирования наблюдается в </w:t>
      </w:r>
      <w:r w:rsidR="00E77DF4">
        <w:rPr>
          <w:color w:val="auto"/>
        </w:rPr>
        <w:t>г. Туркестан (172 ед.)</w:t>
      </w:r>
      <w:r w:rsidRPr="00EC6B6B">
        <w:rPr>
          <w:color w:val="auto"/>
        </w:rPr>
        <w:t>.</w:t>
      </w:r>
    </w:p>
    <w:p w14:paraId="640C5EDB" w14:textId="77777777" w:rsidR="00014C1A" w:rsidRDefault="00003B0B">
      <w:pPr>
        <w:ind w:firstLine="426"/>
        <w:jc w:val="both"/>
      </w:pPr>
      <w:r>
        <w:rPr>
          <w:b/>
          <w:bCs/>
        </w:rPr>
        <w:t> </w:t>
      </w:r>
    </w:p>
    <w:p w14:paraId="499FDB96" w14:textId="77777777" w:rsidR="00014C1A" w:rsidRDefault="00003B0B">
      <w:pPr>
        <w:ind w:firstLine="426"/>
        <w:jc w:val="center"/>
      </w:pPr>
      <w:r>
        <w:rPr>
          <w:b/>
          <w:bCs/>
        </w:rPr>
        <w:t>Количество подписанных договоров субсидирования в разрезе регионов</w:t>
      </w:r>
    </w:p>
    <w:p w14:paraId="14B7F624" w14:textId="77777777" w:rsidR="00014C1A" w:rsidRDefault="00003B0B">
      <w:pPr>
        <w:ind w:firstLine="426"/>
        <w:jc w:val="center"/>
      </w:pPr>
      <w:r>
        <w:t> </w:t>
      </w:r>
    </w:p>
    <w:p w14:paraId="706A8516" w14:textId="20631C1B" w:rsidR="00014C1A" w:rsidRDefault="00E27CFA" w:rsidP="00EC6B6B">
      <w:pPr>
        <w:ind w:hanging="284"/>
        <w:jc w:val="center"/>
      </w:pPr>
      <w:r w:rsidRPr="000F2684">
        <w:rPr>
          <w:noProof/>
        </w:rPr>
        <w:drawing>
          <wp:inline distT="0" distB="0" distL="0" distR="0" wp14:anchorId="674B2EF1" wp14:editId="4A54BFAC">
            <wp:extent cx="5934710" cy="2717165"/>
            <wp:effectExtent l="0" t="0" r="8890" b="698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34710" cy="2717165"/>
                    </a:xfrm>
                    <a:prstGeom prst="rect">
                      <a:avLst/>
                    </a:prstGeom>
                    <a:noFill/>
                    <a:ln>
                      <a:noFill/>
                    </a:ln>
                  </pic:spPr>
                </pic:pic>
              </a:graphicData>
            </a:graphic>
          </wp:inline>
        </w:drawing>
      </w:r>
    </w:p>
    <w:p w14:paraId="41809E2B" w14:textId="77777777" w:rsidR="00014C1A" w:rsidRDefault="00003B0B">
      <w:pPr>
        <w:ind w:firstLine="426"/>
        <w:jc w:val="center"/>
      </w:pPr>
      <w:r>
        <w:rPr>
          <w:i/>
          <w:iCs/>
        </w:rPr>
        <w:t> </w:t>
      </w:r>
    </w:p>
    <w:p w14:paraId="7E40B727" w14:textId="77777777" w:rsidR="00014C1A" w:rsidRDefault="00003B0B">
      <w:pPr>
        <w:ind w:firstLine="426"/>
        <w:jc w:val="center"/>
      </w:pPr>
      <w:r>
        <w:rPr>
          <w:i/>
          <w:iCs/>
        </w:rPr>
        <w:t>Источник: данные Фонда</w:t>
      </w:r>
    </w:p>
    <w:p w14:paraId="13BF43B7" w14:textId="77777777" w:rsidR="00014C1A" w:rsidRDefault="00003B0B">
      <w:pPr>
        <w:ind w:firstLine="426"/>
        <w:jc w:val="both"/>
      </w:pPr>
      <w:r>
        <w:t> </w:t>
      </w:r>
    </w:p>
    <w:p w14:paraId="2B95705D" w14:textId="1644D70D" w:rsidR="00014C1A" w:rsidRPr="00EC6B6B" w:rsidRDefault="00003B0B">
      <w:pPr>
        <w:ind w:firstLine="426"/>
        <w:jc w:val="both"/>
        <w:rPr>
          <w:color w:val="auto"/>
        </w:rPr>
      </w:pPr>
      <w:r>
        <w:t xml:space="preserve">По </w:t>
      </w:r>
      <w:r w:rsidRPr="00EC6B6B">
        <w:rPr>
          <w:color w:val="auto"/>
        </w:rPr>
        <w:t xml:space="preserve">объему кредитного портфеля по состоянию на </w:t>
      </w:r>
      <w:r w:rsidR="00E27CFA" w:rsidRPr="00EC6B6B">
        <w:rPr>
          <w:bCs/>
          <w:color w:val="auto"/>
        </w:rPr>
        <w:t xml:space="preserve">01 января 2021 </w:t>
      </w:r>
      <w:r w:rsidRPr="00EC6B6B">
        <w:rPr>
          <w:color w:val="auto"/>
        </w:rPr>
        <w:t xml:space="preserve">года лидируют г. Алматы и </w:t>
      </w:r>
      <w:r w:rsidR="00E27CFA" w:rsidRPr="00EC6B6B">
        <w:rPr>
          <w:bCs/>
          <w:color w:val="auto"/>
        </w:rPr>
        <w:t>г. Нур-Султан</w:t>
      </w:r>
      <w:r w:rsidRPr="00EC6B6B">
        <w:rPr>
          <w:color w:val="auto"/>
        </w:rPr>
        <w:t>. Наименьшая сумма кредитного портфеля, охваченная инструментом субсидирования, в Кызылординской области.</w:t>
      </w:r>
    </w:p>
    <w:p w14:paraId="1F04720F" w14:textId="5E1378AF" w:rsidR="00014C1A" w:rsidRPr="00EC6B6B" w:rsidRDefault="00003B0B">
      <w:pPr>
        <w:ind w:firstLine="426"/>
        <w:jc w:val="both"/>
        <w:rPr>
          <w:color w:val="auto"/>
        </w:rPr>
      </w:pPr>
      <w:r w:rsidRPr="00EC6B6B">
        <w:rPr>
          <w:color w:val="auto"/>
        </w:rPr>
        <w:t xml:space="preserve">В структуре субсидируемых проектов </w:t>
      </w:r>
      <w:r w:rsidR="00E27CFA" w:rsidRPr="00EC6B6B">
        <w:rPr>
          <w:color w:val="auto"/>
        </w:rPr>
        <w:t xml:space="preserve">в связи с поддержкой в 2020 году проектов в наиболее пострадавших секторах экономики </w:t>
      </w:r>
      <w:r w:rsidRPr="00EC6B6B">
        <w:rPr>
          <w:color w:val="auto"/>
        </w:rPr>
        <w:t xml:space="preserve">преобладают </w:t>
      </w:r>
      <w:r w:rsidR="00E27CFA" w:rsidRPr="00EC6B6B">
        <w:rPr>
          <w:color w:val="auto"/>
        </w:rPr>
        <w:t xml:space="preserve">торговля (28%) и </w:t>
      </w:r>
      <w:r w:rsidRPr="00EC6B6B">
        <w:rPr>
          <w:color w:val="auto"/>
        </w:rPr>
        <w:t>обрабатывающая промышленность (</w:t>
      </w:r>
      <w:r w:rsidR="00E27CFA" w:rsidRPr="00EC6B6B">
        <w:rPr>
          <w:color w:val="auto"/>
        </w:rPr>
        <w:t>16</w:t>
      </w:r>
      <w:r w:rsidRPr="00EC6B6B">
        <w:rPr>
          <w:color w:val="auto"/>
        </w:rPr>
        <w:t>%).</w:t>
      </w:r>
    </w:p>
    <w:p w14:paraId="08986DDD" w14:textId="77777777" w:rsidR="00014C1A" w:rsidRDefault="00003B0B">
      <w:pPr>
        <w:ind w:firstLine="426"/>
        <w:jc w:val="both"/>
      </w:pPr>
      <w:r>
        <w:rPr>
          <w:b/>
          <w:bCs/>
        </w:rPr>
        <w:lastRenderedPageBreak/>
        <w:t> </w:t>
      </w:r>
    </w:p>
    <w:p w14:paraId="5ABB648A" w14:textId="77777777" w:rsidR="00014C1A" w:rsidRDefault="00003B0B">
      <w:pPr>
        <w:ind w:firstLine="426"/>
        <w:jc w:val="center"/>
      </w:pPr>
      <w:r>
        <w:rPr>
          <w:b/>
          <w:bCs/>
        </w:rPr>
        <w:t>Результаты субсидирования в разрезе отраслей</w:t>
      </w:r>
    </w:p>
    <w:p w14:paraId="620CF73E" w14:textId="77777777" w:rsidR="00014C1A" w:rsidRDefault="00003B0B">
      <w:pPr>
        <w:ind w:firstLine="426"/>
        <w:jc w:val="center"/>
      </w:pPr>
      <w:r>
        <w:t> </w:t>
      </w:r>
    </w:p>
    <w:p w14:paraId="2676020E" w14:textId="2C09B528" w:rsidR="00014C1A" w:rsidRDefault="00E27CFA">
      <w:pPr>
        <w:ind w:firstLine="426"/>
        <w:jc w:val="center"/>
      </w:pPr>
      <w:r w:rsidRPr="000F2684">
        <w:rPr>
          <w:noProof/>
        </w:rPr>
        <w:drawing>
          <wp:inline distT="0" distB="0" distL="0" distR="0" wp14:anchorId="0C60C1E7" wp14:editId="55C1D93A">
            <wp:extent cx="4020185" cy="4071620"/>
            <wp:effectExtent l="0" t="0" r="0" b="508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20185" cy="4071620"/>
                    </a:xfrm>
                    <a:prstGeom prst="rect">
                      <a:avLst/>
                    </a:prstGeom>
                    <a:noFill/>
                    <a:ln>
                      <a:noFill/>
                    </a:ln>
                  </pic:spPr>
                </pic:pic>
              </a:graphicData>
            </a:graphic>
          </wp:inline>
        </w:drawing>
      </w:r>
    </w:p>
    <w:p w14:paraId="1839A895" w14:textId="77777777" w:rsidR="00014C1A" w:rsidRDefault="00003B0B">
      <w:pPr>
        <w:ind w:firstLine="426"/>
        <w:jc w:val="center"/>
      </w:pPr>
      <w:r>
        <w:rPr>
          <w:i/>
          <w:iCs/>
        </w:rPr>
        <w:t> </w:t>
      </w:r>
    </w:p>
    <w:p w14:paraId="77051944" w14:textId="77777777" w:rsidR="00014C1A" w:rsidRDefault="00003B0B">
      <w:pPr>
        <w:ind w:firstLine="426"/>
        <w:jc w:val="center"/>
      </w:pPr>
      <w:r>
        <w:rPr>
          <w:i/>
          <w:iCs/>
        </w:rPr>
        <w:t>Источник: данные Фонда</w:t>
      </w:r>
    </w:p>
    <w:p w14:paraId="19A74E4D" w14:textId="77777777" w:rsidR="00014C1A" w:rsidRDefault="00003B0B">
      <w:pPr>
        <w:ind w:firstLine="426"/>
        <w:jc w:val="both"/>
      </w:pPr>
      <w:r>
        <w:t> </w:t>
      </w:r>
    </w:p>
    <w:p w14:paraId="67AFEBA7" w14:textId="4CE0427C" w:rsidR="00014C1A" w:rsidRDefault="00003B0B">
      <w:pPr>
        <w:ind w:firstLine="426"/>
        <w:jc w:val="both"/>
      </w:pPr>
      <w:r>
        <w:t>Частичное гарантирование по кредитам субъектов ММСП осуществля</w:t>
      </w:r>
      <w:r w:rsidR="00C4542E">
        <w:t>лось</w:t>
      </w:r>
      <w:r>
        <w:t xml:space="preserve"> в рамках 1-го направления «Поддержка новых бизнес-инициатив» программы «ДКБ</w:t>
      </w:r>
      <w:r w:rsidR="001C1E49">
        <w:t>-</w:t>
      </w:r>
      <w:r w:rsidR="006B2661">
        <w:t>2025</w:t>
      </w:r>
      <w:r>
        <w:t>» и включа</w:t>
      </w:r>
      <w:r w:rsidR="00C4542E">
        <w:t>ло</w:t>
      </w:r>
      <w:r>
        <w:t xml:space="preserve"> 3 вида гарантий:</w:t>
      </w:r>
    </w:p>
    <w:p w14:paraId="62F059BB" w14:textId="4D08E3A0" w:rsidR="00014C1A" w:rsidRDefault="00003B0B">
      <w:pPr>
        <w:ind w:firstLine="426"/>
        <w:jc w:val="both"/>
      </w:pPr>
      <w:r>
        <w:t>1. Экспресс гарантии для начинающих предпринимателей</w:t>
      </w:r>
      <w:r w:rsidR="00C4542E">
        <w:t>;</w:t>
      </w:r>
    </w:p>
    <w:p w14:paraId="39AF42A3" w14:textId="691149B0" w:rsidR="00014C1A" w:rsidRDefault="00003B0B">
      <w:pPr>
        <w:ind w:firstLine="426"/>
        <w:jc w:val="both"/>
      </w:pPr>
      <w:r>
        <w:t>2. Экспресс гарантии для предпринимателей</w:t>
      </w:r>
      <w:r w:rsidR="00C4542E">
        <w:t>;</w:t>
      </w:r>
    </w:p>
    <w:p w14:paraId="139C29AE" w14:textId="5744D99A" w:rsidR="00014C1A" w:rsidRDefault="00003B0B">
      <w:pPr>
        <w:ind w:firstLine="426"/>
        <w:jc w:val="both"/>
      </w:pPr>
      <w:r>
        <w:t>3. Индивидуальные гарантии для предпринимателей</w:t>
      </w:r>
      <w:r w:rsidR="00C4542E">
        <w:t>.</w:t>
      </w:r>
    </w:p>
    <w:p w14:paraId="68F7B01B" w14:textId="155E47D2" w:rsidR="00014C1A" w:rsidRPr="00EC6B6B" w:rsidRDefault="00003B0B">
      <w:pPr>
        <w:ind w:firstLine="426"/>
        <w:jc w:val="both"/>
        <w:rPr>
          <w:color w:val="auto"/>
        </w:rPr>
      </w:pPr>
      <w:r>
        <w:t xml:space="preserve">Ускорение процесса рассмотрения заявок (по экспресс гарантиям - 5 рабочих дней, по индивидуальным </w:t>
      </w:r>
      <w:r w:rsidRPr="00EC6B6B">
        <w:rPr>
          <w:color w:val="auto"/>
        </w:rPr>
        <w:t xml:space="preserve">гарантиям - 10 рабочих дней) позволило увеличить рост заключаемых договоров. По состоянию на </w:t>
      </w:r>
      <w:r w:rsidR="00EF4FA1" w:rsidRPr="00EC6B6B">
        <w:rPr>
          <w:color w:val="auto"/>
        </w:rPr>
        <w:t>1 января</w:t>
      </w:r>
      <w:r w:rsidRPr="00EC6B6B">
        <w:rPr>
          <w:color w:val="auto"/>
        </w:rPr>
        <w:t xml:space="preserve"> </w:t>
      </w:r>
      <w:r w:rsidR="00EF4FA1" w:rsidRPr="00EC6B6B">
        <w:rPr>
          <w:color w:val="auto"/>
        </w:rPr>
        <w:t xml:space="preserve">2021 </w:t>
      </w:r>
      <w:r w:rsidRPr="00EC6B6B">
        <w:rPr>
          <w:color w:val="auto"/>
        </w:rPr>
        <w:t xml:space="preserve">года подписано </w:t>
      </w:r>
      <w:r w:rsidR="00124AE1" w:rsidRPr="00EC6B6B">
        <w:rPr>
          <w:color w:val="auto"/>
        </w:rPr>
        <w:t>13 373</w:t>
      </w:r>
      <w:r w:rsidRPr="00EC6B6B">
        <w:rPr>
          <w:color w:val="auto"/>
        </w:rPr>
        <w:t xml:space="preserve">договоров гарантии по кредитам на сумму </w:t>
      </w:r>
      <w:r w:rsidR="00124AE1" w:rsidRPr="00EC6B6B">
        <w:rPr>
          <w:color w:val="auto"/>
        </w:rPr>
        <w:t xml:space="preserve">468,3 </w:t>
      </w:r>
      <w:r w:rsidR="00B646B3">
        <w:rPr>
          <w:color w:val="auto"/>
        </w:rPr>
        <w:t>млрд</w:t>
      </w:r>
      <w:r w:rsidRPr="00EC6B6B">
        <w:rPr>
          <w:color w:val="auto"/>
        </w:rPr>
        <w:t xml:space="preserve"> тенге, сумма гарантий составила </w:t>
      </w:r>
      <w:r w:rsidR="00124AE1" w:rsidRPr="00EC6B6B">
        <w:rPr>
          <w:color w:val="auto"/>
        </w:rPr>
        <w:t xml:space="preserve">182,0 </w:t>
      </w:r>
      <w:r w:rsidR="00B646B3">
        <w:rPr>
          <w:color w:val="auto"/>
        </w:rPr>
        <w:t>млрд</w:t>
      </w:r>
      <w:r w:rsidRPr="00EC6B6B">
        <w:rPr>
          <w:color w:val="auto"/>
        </w:rPr>
        <w:t xml:space="preserve"> тенге.</w:t>
      </w:r>
    </w:p>
    <w:p w14:paraId="012BE8FC" w14:textId="4F6AFA4F" w:rsidR="00014C1A" w:rsidRPr="00EC6B6B" w:rsidRDefault="00003B0B">
      <w:pPr>
        <w:ind w:firstLine="426"/>
        <w:jc w:val="both"/>
        <w:rPr>
          <w:color w:val="auto"/>
        </w:rPr>
      </w:pPr>
      <w:r w:rsidRPr="00EC6B6B">
        <w:rPr>
          <w:color w:val="auto"/>
        </w:rPr>
        <w:t xml:space="preserve">В региональном разрезе по состоянию на </w:t>
      </w:r>
      <w:r w:rsidR="00124AE1" w:rsidRPr="00EC6B6B">
        <w:rPr>
          <w:color w:val="auto"/>
        </w:rPr>
        <w:t xml:space="preserve">1 января 2021 </w:t>
      </w:r>
      <w:r w:rsidRPr="00EC6B6B">
        <w:rPr>
          <w:color w:val="auto"/>
        </w:rPr>
        <w:t xml:space="preserve">года наибольшее количество договоров гарантирования было подписано в </w:t>
      </w:r>
      <w:r w:rsidR="00124AE1" w:rsidRPr="00EC6B6B">
        <w:rPr>
          <w:color w:val="auto"/>
        </w:rPr>
        <w:t>Кызылординской области</w:t>
      </w:r>
      <w:r w:rsidRPr="00EC6B6B">
        <w:rPr>
          <w:color w:val="auto"/>
        </w:rPr>
        <w:t xml:space="preserve"> и </w:t>
      </w:r>
      <w:r w:rsidR="00124AE1" w:rsidRPr="00EC6B6B">
        <w:rPr>
          <w:color w:val="auto"/>
        </w:rPr>
        <w:t>г. Нур-Султан</w:t>
      </w:r>
      <w:r w:rsidRPr="00EC6B6B">
        <w:rPr>
          <w:color w:val="auto"/>
        </w:rPr>
        <w:t>. Наименьшее количество подписанных договоров гарантирования наблюда</w:t>
      </w:r>
      <w:r w:rsidR="00C4542E" w:rsidRPr="00EC6B6B">
        <w:rPr>
          <w:color w:val="auto"/>
        </w:rPr>
        <w:t>лось</w:t>
      </w:r>
      <w:r w:rsidRPr="00EC6B6B">
        <w:rPr>
          <w:color w:val="auto"/>
        </w:rPr>
        <w:t xml:space="preserve"> в </w:t>
      </w:r>
      <w:r w:rsidR="00124AE1" w:rsidRPr="00EC6B6B">
        <w:rPr>
          <w:color w:val="auto"/>
        </w:rPr>
        <w:t>г. Шымкент</w:t>
      </w:r>
      <w:r w:rsidRPr="00EC6B6B">
        <w:rPr>
          <w:color w:val="auto"/>
        </w:rPr>
        <w:t>.</w:t>
      </w:r>
    </w:p>
    <w:p w14:paraId="5C38D3B7" w14:textId="77777777" w:rsidR="00014C1A" w:rsidRPr="00EC6B6B" w:rsidRDefault="00003B0B">
      <w:pPr>
        <w:ind w:firstLine="426"/>
        <w:jc w:val="both"/>
        <w:rPr>
          <w:color w:val="auto"/>
        </w:rPr>
      </w:pPr>
      <w:r w:rsidRPr="00EC6B6B">
        <w:rPr>
          <w:color w:val="auto"/>
        </w:rPr>
        <w:t> </w:t>
      </w:r>
    </w:p>
    <w:p w14:paraId="0B1F0526" w14:textId="07C05534" w:rsidR="00014C1A" w:rsidRPr="00EC6B6B" w:rsidRDefault="00003B0B">
      <w:pPr>
        <w:ind w:firstLine="426"/>
        <w:jc w:val="both"/>
        <w:rPr>
          <w:color w:val="auto"/>
        </w:rPr>
      </w:pPr>
      <w:r w:rsidRPr="00EC6B6B">
        <w:rPr>
          <w:color w:val="auto"/>
        </w:rPr>
        <w:t xml:space="preserve">В целом Фонд уже занимает существенную долю на рынке банковского кредитования. В приоритетных секторах доля кредитов, выданных участникам программ Фонда, в среднем составляет </w:t>
      </w:r>
      <w:r w:rsidR="0094182F" w:rsidRPr="00EC6B6B">
        <w:rPr>
          <w:color w:val="auto"/>
        </w:rPr>
        <w:t>14</w:t>
      </w:r>
      <w:r w:rsidRPr="00EC6B6B">
        <w:rPr>
          <w:color w:val="auto"/>
        </w:rPr>
        <w:t xml:space="preserve">% в год, в обрабатывающей промышленности - </w:t>
      </w:r>
      <w:r w:rsidR="0094182F" w:rsidRPr="00EC6B6B">
        <w:rPr>
          <w:color w:val="auto"/>
        </w:rPr>
        <w:t>17</w:t>
      </w:r>
      <w:r w:rsidRPr="00EC6B6B">
        <w:rPr>
          <w:color w:val="auto"/>
        </w:rPr>
        <w:t>%.</w:t>
      </w:r>
    </w:p>
    <w:p w14:paraId="40154B56" w14:textId="77777777" w:rsidR="00014C1A" w:rsidRPr="00EC6B6B" w:rsidRDefault="00003B0B">
      <w:pPr>
        <w:ind w:firstLine="426"/>
        <w:jc w:val="both"/>
        <w:rPr>
          <w:color w:val="auto"/>
        </w:rPr>
      </w:pPr>
      <w:r w:rsidRPr="00EC6B6B">
        <w:rPr>
          <w:color w:val="auto"/>
        </w:rPr>
        <w:t> </w:t>
      </w:r>
    </w:p>
    <w:p w14:paraId="0BF7F57E" w14:textId="78916A14" w:rsidR="00014C1A" w:rsidRPr="00EC6B6B" w:rsidRDefault="00014C1A">
      <w:pPr>
        <w:ind w:firstLine="426"/>
        <w:jc w:val="center"/>
        <w:rPr>
          <w:color w:val="auto"/>
        </w:rPr>
      </w:pPr>
    </w:p>
    <w:tbl>
      <w:tblPr>
        <w:tblW w:w="0" w:type="auto"/>
        <w:jc w:val="center"/>
        <w:tblLook w:val="04A0" w:firstRow="1" w:lastRow="0" w:firstColumn="1" w:lastColumn="0" w:noHBand="0" w:noVBand="1"/>
      </w:tblPr>
      <w:tblGrid>
        <w:gridCol w:w="4558"/>
        <w:gridCol w:w="4797"/>
      </w:tblGrid>
      <w:tr w:rsidR="00982FE8" w:rsidRPr="00982FE8" w14:paraId="0D6E9D74" w14:textId="77777777" w:rsidTr="00FF0F59">
        <w:trPr>
          <w:trHeight w:val="507"/>
          <w:jc w:val="center"/>
        </w:trPr>
        <w:tc>
          <w:tcPr>
            <w:tcW w:w="4812" w:type="dxa"/>
            <w:hideMark/>
          </w:tcPr>
          <w:p w14:paraId="726A639A" w14:textId="77777777" w:rsidR="0094182F" w:rsidRPr="00EC6B6B" w:rsidRDefault="0094182F" w:rsidP="00FF0F59">
            <w:pPr>
              <w:contextualSpacing/>
              <w:jc w:val="center"/>
              <w:rPr>
                <w:color w:val="auto"/>
                <w:lang w:val="kk-KZ" w:eastAsia="en-US"/>
              </w:rPr>
            </w:pPr>
            <w:r w:rsidRPr="00EC6B6B">
              <w:rPr>
                <w:b/>
                <w:bCs/>
                <w:color w:val="auto"/>
              </w:rPr>
              <w:t>Приоритетные секторы экономики</w:t>
            </w:r>
          </w:p>
        </w:tc>
        <w:tc>
          <w:tcPr>
            <w:tcW w:w="5042" w:type="dxa"/>
            <w:hideMark/>
          </w:tcPr>
          <w:p w14:paraId="767BFB8F" w14:textId="77777777" w:rsidR="0094182F" w:rsidRPr="00EC6B6B" w:rsidRDefault="0094182F" w:rsidP="00FF0F59">
            <w:pPr>
              <w:contextualSpacing/>
              <w:jc w:val="center"/>
              <w:rPr>
                <w:color w:val="auto"/>
                <w:lang w:val="kk-KZ" w:eastAsia="en-US"/>
              </w:rPr>
            </w:pPr>
            <w:r w:rsidRPr="00EC6B6B">
              <w:rPr>
                <w:b/>
                <w:bCs/>
                <w:color w:val="auto"/>
              </w:rPr>
              <w:t>Обрабатывающая промышленность</w:t>
            </w:r>
          </w:p>
        </w:tc>
      </w:tr>
      <w:tr w:rsidR="0094182F" w14:paraId="170CFA38" w14:textId="77777777" w:rsidTr="00FF0F59">
        <w:trPr>
          <w:trHeight w:val="3725"/>
          <w:jc w:val="center"/>
        </w:trPr>
        <w:tc>
          <w:tcPr>
            <w:tcW w:w="4812" w:type="dxa"/>
          </w:tcPr>
          <w:p w14:paraId="679B3265" w14:textId="5BDD2132" w:rsidR="0094182F" w:rsidRDefault="0094182F" w:rsidP="00FF0F59">
            <w:pPr>
              <w:contextualSpacing/>
              <w:jc w:val="both"/>
              <w:rPr>
                <w:noProof/>
                <w:color w:val="00B050"/>
              </w:rPr>
            </w:pPr>
            <w:r w:rsidRPr="00311A1C">
              <w:rPr>
                <w:noProof/>
                <w:color w:val="00B050"/>
              </w:rPr>
              <w:lastRenderedPageBreak/>
              <w:drawing>
                <wp:inline distT="0" distB="0" distL="0" distR="0" wp14:anchorId="442898E8" wp14:editId="16372041">
                  <wp:extent cx="3104515" cy="2432050"/>
                  <wp:effectExtent l="0" t="0" r="635" b="6350"/>
                  <wp:docPr id="29" name="Диаграмма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7E942EE" w14:textId="77777777" w:rsidR="0094182F" w:rsidRDefault="0094182F" w:rsidP="00FF0F59">
            <w:pPr>
              <w:contextualSpacing/>
              <w:jc w:val="both"/>
              <w:rPr>
                <w:color w:val="00B050"/>
                <w:lang w:val="kk-KZ" w:eastAsia="en-US"/>
              </w:rPr>
            </w:pPr>
          </w:p>
        </w:tc>
        <w:tc>
          <w:tcPr>
            <w:tcW w:w="5042" w:type="dxa"/>
            <w:hideMark/>
          </w:tcPr>
          <w:p w14:paraId="5AB97010" w14:textId="5F29506B" w:rsidR="0094182F" w:rsidRDefault="0094182F" w:rsidP="00FF0F59">
            <w:pPr>
              <w:contextualSpacing/>
              <w:jc w:val="both"/>
              <w:rPr>
                <w:color w:val="00B050"/>
                <w:lang w:val="kk-KZ" w:eastAsia="en-US"/>
              </w:rPr>
            </w:pPr>
            <w:r w:rsidRPr="00311A1C">
              <w:rPr>
                <w:noProof/>
                <w:color w:val="00B050"/>
              </w:rPr>
              <w:drawing>
                <wp:inline distT="0" distB="0" distL="0" distR="0" wp14:anchorId="647EE029" wp14:editId="3D46C611">
                  <wp:extent cx="3259455" cy="2432050"/>
                  <wp:effectExtent l="0" t="0" r="17145" b="6350"/>
                  <wp:docPr id="28"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r>
    </w:tbl>
    <w:p w14:paraId="42918EAE" w14:textId="77777777" w:rsidR="00014C1A" w:rsidRDefault="00003B0B">
      <w:pPr>
        <w:ind w:firstLine="426"/>
        <w:jc w:val="center"/>
      </w:pPr>
      <w:r>
        <w:rPr>
          <w:i/>
          <w:iCs/>
        </w:rPr>
        <w:t> </w:t>
      </w:r>
    </w:p>
    <w:p w14:paraId="651B93FB" w14:textId="77777777" w:rsidR="00014C1A" w:rsidRDefault="00003B0B">
      <w:pPr>
        <w:ind w:firstLine="426"/>
        <w:jc w:val="center"/>
      </w:pPr>
      <w:r>
        <w:rPr>
          <w:i/>
          <w:iCs/>
        </w:rPr>
        <w:t>Источник: Национальный Банк РК (</w:t>
      </w:r>
      <w:r>
        <w:rPr>
          <w:i/>
          <w:iCs/>
          <w:lang w:val="en-US"/>
        </w:rPr>
        <w:t>www</w:t>
      </w:r>
      <w:r>
        <w:rPr>
          <w:i/>
          <w:iCs/>
        </w:rPr>
        <w:t>.</w:t>
      </w:r>
      <w:r>
        <w:rPr>
          <w:i/>
          <w:iCs/>
          <w:lang w:val="en-US"/>
        </w:rPr>
        <w:t>nationalbank</w:t>
      </w:r>
      <w:r>
        <w:rPr>
          <w:i/>
          <w:iCs/>
        </w:rPr>
        <w:t>.</w:t>
      </w:r>
      <w:r>
        <w:rPr>
          <w:i/>
          <w:iCs/>
          <w:lang w:val="en-US"/>
        </w:rPr>
        <w:t>kz</w:t>
      </w:r>
      <w:r>
        <w:rPr>
          <w:i/>
          <w:iCs/>
        </w:rPr>
        <w:t>). Первое кредитное бюро (</w:t>
      </w:r>
      <w:r>
        <w:rPr>
          <w:i/>
          <w:iCs/>
          <w:lang w:val="en-US"/>
        </w:rPr>
        <w:t>www</w:t>
      </w:r>
      <w:r>
        <w:rPr>
          <w:i/>
          <w:iCs/>
        </w:rPr>
        <w:t>.1</w:t>
      </w:r>
      <w:r>
        <w:rPr>
          <w:i/>
          <w:iCs/>
          <w:lang w:val="en-US"/>
        </w:rPr>
        <w:t>cb</w:t>
      </w:r>
      <w:r>
        <w:rPr>
          <w:i/>
          <w:iCs/>
        </w:rPr>
        <w:t>.</w:t>
      </w:r>
      <w:r>
        <w:rPr>
          <w:i/>
          <w:iCs/>
          <w:lang w:val="en-US"/>
        </w:rPr>
        <w:t>kz</w:t>
      </w:r>
      <w:r>
        <w:rPr>
          <w:i/>
          <w:iCs/>
        </w:rPr>
        <w:t>)</w:t>
      </w:r>
    </w:p>
    <w:p w14:paraId="6E08FE2A" w14:textId="77777777" w:rsidR="00014C1A" w:rsidRDefault="00003B0B">
      <w:pPr>
        <w:ind w:firstLine="426"/>
        <w:jc w:val="both"/>
      </w:pPr>
      <w:r>
        <w:t> </w:t>
      </w:r>
    </w:p>
    <w:p w14:paraId="6A0B865E" w14:textId="77777777" w:rsidR="00014C1A" w:rsidRDefault="00003B0B">
      <w:pPr>
        <w:ind w:firstLine="426"/>
        <w:jc w:val="both"/>
      </w:pPr>
      <w:r>
        <w:t>Для сравнения по данным ОЭСР объемы кредитования ММСП за счет государства в соотношении с рыночными объемами финансирования ММСП составляют: в Канаде - до 28%, в Бразилии - до 4%, в странах Западной Европы - до 17%, в Китае - до 7%</w:t>
      </w:r>
      <w:r>
        <w:rPr>
          <w:vertAlign w:val="superscript"/>
        </w:rPr>
        <w:t>2</w:t>
      </w:r>
      <w:r>
        <w:t>.</w:t>
      </w:r>
    </w:p>
    <w:p w14:paraId="572EC0C1" w14:textId="77777777" w:rsidR="00014C1A" w:rsidRPr="007C286C" w:rsidRDefault="00003B0B">
      <w:pPr>
        <w:ind w:firstLine="426"/>
        <w:jc w:val="both"/>
        <w:rPr>
          <w:lang w:val="en-US"/>
        </w:rPr>
      </w:pPr>
      <w:r>
        <w:rPr>
          <w:lang w:val="en-US"/>
        </w:rPr>
        <w:t>____________________</w:t>
      </w:r>
    </w:p>
    <w:p w14:paraId="37A58893" w14:textId="77777777" w:rsidR="00014C1A" w:rsidRPr="007C286C" w:rsidRDefault="00003B0B">
      <w:pPr>
        <w:ind w:firstLine="426"/>
        <w:jc w:val="both"/>
        <w:rPr>
          <w:lang w:val="en-US"/>
        </w:rPr>
      </w:pPr>
      <w:r>
        <w:rPr>
          <w:i/>
          <w:iCs/>
          <w:vertAlign w:val="superscript"/>
          <w:lang w:val="en-US"/>
        </w:rPr>
        <w:t>2</w:t>
      </w:r>
      <w:r>
        <w:rPr>
          <w:i/>
          <w:iCs/>
          <w:lang w:val="en-US"/>
        </w:rPr>
        <w:t xml:space="preserve"> </w:t>
      </w:r>
      <w:r>
        <w:rPr>
          <w:i/>
          <w:iCs/>
        </w:rPr>
        <w:t>Источник</w:t>
      </w:r>
      <w:r>
        <w:rPr>
          <w:i/>
          <w:iCs/>
          <w:lang w:val="en-US"/>
        </w:rPr>
        <w:t xml:space="preserve">: Financing SMEs and Entrepreneurs 2017 - An </w:t>
      </w:r>
      <w:r>
        <w:rPr>
          <w:i/>
          <w:iCs/>
          <w:lang w:val="de-DE"/>
        </w:rPr>
        <w:t xml:space="preserve">OECD </w:t>
      </w:r>
      <w:r>
        <w:rPr>
          <w:i/>
          <w:iCs/>
          <w:lang w:val="en-US"/>
        </w:rPr>
        <w:t>Scoreboard (http://www.oecd.orp/cfe/smes/financinp-smes-and-entrepreneurs-23065265.htm)</w:t>
      </w:r>
    </w:p>
    <w:p w14:paraId="64754EC9" w14:textId="77777777" w:rsidR="00014C1A" w:rsidRPr="007C286C" w:rsidRDefault="00003B0B">
      <w:pPr>
        <w:ind w:firstLine="426"/>
        <w:jc w:val="both"/>
        <w:rPr>
          <w:lang w:val="en-US"/>
        </w:rPr>
      </w:pPr>
      <w:r>
        <w:rPr>
          <w:b/>
          <w:bCs/>
          <w:lang w:val="en-US"/>
        </w:rPr>
        <w:t> </w:t>
      </w:r>
    </w:p>
    <w:p w14:paraId="035C57A1" w14:textId="77777777" w:rsidR="00014C1A" w:rsidRDefault="00003B0B">
      <w:pPr>
        <w:ind w:firstLine="426"/>
        <w:jc w:val="both"/>
      </w:pPr>
      <w:bookmarkStart w:id="11" w:name="SUB1040200"/>
      <w:bookmarkEnd w:id="11"/>
      <w:r>
        <w:rPr>
          <w:b/>
          <w:bCs/>
        </w:rPr>
        <w:t>1.4.2. Финансовое положение Фонда</w:t>
      </w:r>
    </w:p>
    <w:p w14:paraId="089A7077" w14:textId="45818AB9" w:rsidR="00014C1A" w:rsidRPr="00EC6B6B" w:rsidRDefault="00003B0B">
      <w:pPr>
        <w:ind w:firstLine="426"/>
        <w:jc w:val="both"/>
        <w:rPr>
          <w:color w:val="auto"/>
        </w:rPr>
      </w:pPr>
      <w:r>
        <w:t xml:space="preserve">В 1997 году при создании Фонда «Даму» были выделены средства в сумме 47,5 </w:t>
      </w:r>
      <w:r w:rsidR="00B646B3">
        <w:t>млн</w:t>
      </w:r>
      <w:r>
        <w:t xml:space="preserve"> тенге. С 2004 по 2007 годы Фонду были выделены средства на капитализацию в общей сумме 37,1 </w:t>
      </w:r>
      <w:r w:rsidR="00B646B3">
        <w:t>млрд</w:t>
      </w:r>
      <w:r>
        <w:t xml:space="preserve"> тенге по программам. В 2008 и 2012 года средства на капитализацию в размере 7,8 </w:t>
      </w:r>
      <w:r w:rsidR="00B646B3">
        <w:t>млрд</w:t>
      </w:r>
      <w:r>
        <w:t xml:space="preserve"> тенге и 28 </w:t>
      </w:r>
      <w:r w:rsidR="00B646B3">
        <w:t>млрд</w:t>
      </w:r>
      <w:r>
        <w:t xml:space="preserve"> тенге соответственно были выделены АО «Фонд национального благосостояния «Самрук-Қазына» на развитие предпринимательства по программам </w:t>
      </w:r>
      <w:r w:rsidRPr="00EC6B6B">
        <w:rPr>
          <w:color w:val="auto"/>
        </w:rPr>
        <w:t>обусловленного размещения средств.</w:t>
      </w:r>
      <w:r w:rsidR="00124AE1" w:rsidRPr="00EC6B6B">
        <w:rPr>
          <w:color w:val="auto"/>
        </w:rPr>
        <w:t xml:space="preserve"> В 2020 году на капитализацию Фонда, были выделены средства в размере 30,0 млрд тенге.</w:t>
      </w:r>
    </w:p>
    <w:p w14:paraId="27D948D1" w14:textId="77777777" w:rsidR="00014C1A" w:rsidRPr="00EC6B6B" w:rsidRDefault="00003B0B">
      <w:pPr>
        <w:ind w:firstLine="426"/>
        <w:jc w:val="both"/>
        <w:rPr>
          <w:color w:val="auto"/>
        </w:rPr>
      </w:pPr>
      <w:r w:rsidRPr="00EC6B6B">
        <w:rPr>
          <w:color w:val="auto"/>
        </w:rPr>
        <w:t> </w:t>
      </w:r>
    </w:p>
    <w:p w14:paraId="55CB4D9F" w14:textId="77777777" w:rsidR="00014C1A" w:rsidRPr="00EC6B6B" w:rsidRDefault="00003B0B">
      <w:pPr>
        <w:ind w:firstLine="426"/>
        <w:jc w:val="center"/>
        <w:rPr>
          <w:color w:val="auto"/>
        </w:rPr>
      </w:pPr>
      <w:r w:rsidRPr="00EC6B6B">
        <w:rPr>
          <w:b/>
          <w:bCs/>
          <w:color w:val="auto"/>
        </w:rPr>
        <w:t>Капитализация Фонда</w:t>
      </w:r>
    </w:p>
    <w:p w14:paraId="4FFF1ABB" w14:textId="5A7C8A95" w:rsidR="00014C1A" w:rsidRPr="00EC6B6B" w:rsidRDefault="00003B0B">
      <w:pPr>
        <w:ind w:firstLine="426"/>
        <w:jc w:val="center"/>
        <w:rPr>
          <w:color w:val="auto"/>
        </w:rPr>
      </w:pPr>
      <w:r w:rsidRPr="00EC6B6B">
        <w:rPr>
          <w:color w:val="auto"/>
        </w:rPr>
        <w:t> </w:t>
      </w:r>
    </w:p>
    <w:p w14:paraId="71C33B1B" w14:textId="77777777" w:rsidR="00124AE1" w:rsidRPr="00EC6B6B" w:rsidRDefault="00003B0B" w:rsidP="00124AE1">
      <w:pPr>
        <w:ind w:firstLine="567"/>
        <w:contextualSpacing/>
        <w:jc w:val="right"/>
        <w:rPr>
          <w:b/>
          <w:bCs/>
          <w:color w:val="auto"/>
        </w:rPr>
      </w:pPr>
      <w:r w:rsidRPr="00EC6B6B">
        <w:rPr>
          <w:i/>
          <w:iCs/>
          <w:color w:val="auto"/>
        </w:rPr>
        <w:t> </w:t>
      </w:r>
      <w:r w:rsidR="00124AE1" w:rsidRPr="00EC6B6B">
        <w:rPr>
          <w:bCs/>
          <w:i/>
          <w:color w:val="auto"/>
        </w:rPr>
        <w:t>в тыс. тенге</w:t>
      </w:r>
    </w:p>
    <w:p w14:paraId="69BF6AAD" w14:textId="208CE88D" w:rsidR="00124AE1" w:rsidRDefault="00124AE1" w:rsidP="00124AE1">
      <w:pPr>
        <w:ind w:firstLine="567"/>
        <w:contextualSpacing/>
        <w:jc w:val="center"/>
        <w:rPr>
          <w:b/>
          <w:bCs/>
          <w:color w:val="00B050"/>
        </w:rPr>
      </w:pPr>
      <w:r w:rsidRPr="00311A1C">
        <w:rPr>
          <w:noProof/>
          <w:color w:val="00B050"/>
        </w:rPr>
        <w:drawing>
          <wp:inline distT="0" distB="0" distL="0" distR="0" wp14:anchorId="524D1248" wp14:editId="085ADAEA">
            <wp:extent cx="5036185" cy="2335530"/>
            <wp:effectExtent l="0" t="0" r="12065" b="7620"/>
            <wp:docPr id="1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8B14DE1" w14:textId="77777777" w:rsidR="00014C1A" w:rsidRDefault="00014C1A">
      <w:pPr>
        <w:ind w:firstLine="426"/>
        <w:jc w:val="center"/>
      </w:pPr>
    </w:p>
    <w:p w14:paraId="15057154" w14:textId="77777777" w:rsidR="00014C1A" w:rsidRDefault="00003B0B">
      <w:pPr>
        <w:ind w:firstLine="426"/>
        <w:jc w:val="center"/>
      </w:pPr>
      <w:r>
        <w:rPr>
          <w:i/>
          <w:iCs/>
        </w:rPr>
        <w:lastRenderedPageBreak/>
        <w:t>Источник: данные Фонда</w:t>
      </w:r>
    </w:p>
    <w:p w14:paraId="0CD96D06" w14:textId="77777777" w:rsidR="00014C1A" w:rsidRDefault="00003B0B">
      <w:pPr>
        <w:ind w:firstLine="426"/>
        <w:jc w:val="center"/>
      </w:pPr>
      <w:r>
        <w:t> </w:t>
      </w:r>
    </w:p>
    <w:p w14:paraId="0C3839ED" w14:textId="3F37537E" w:rsidR="00014C1A" w:rsidRPr="00EC6B6B" w:rsidRDefault="00003B0B">
      <w:pPr>
        <w:ind w:firstLine="426"/>
        <w:jc w:val="both"/>
        <w:rPr>
          <w:color w:val="auto"/>
        </w:rPr>
      </w:pPr>
      <w:r>
        <w:t xml:space="preserve">По состоянию на 1 января </w:t>
      </w:r>
      <w:r w:rsidR="00124AE1">
        <w:t xml:space="preserve">2021 </w:t>
      </w:r>
      <w:r>
        <w:t xml:space="preserve">года активы Фонда </w:t>
      </w:r>
      <w:r w:rsidRPr="00EC6B6B">
        <w:rPr>
          <w:color w:val="auto"/>
        </w:rPr>
        <w:t xml:space="preserve">составили </w:t>
      </w:r>
      <w:r w:rsidR="00124AE1" w:rsidRPr="00EC6B6B">
        <w:rPr>
          <w:color w:val="auto"/>
        </w:rPr>
        <w:t>358,1</w:t>
      </w:r>
      <w:r w:rsidR="00615EEB">
        <w:rPr>
          <w:color w:val="auto"/>
        </w:rPr>
        <w:t xml:space="preserve"> </w:t>
      </w:r>
      <w:r w:rsidR="00B646B3">
        <w:rPr>
          <w:color w:val="auto"/>
        </w:rPr>
        <w:t>млрд</w:t>
      </w:r>
      <w:r w:rsidRPr="00EC6B6B">
        <w:rPr>
          <w:color w:val="auto"/>
        </w:rPr>
        <w:t xml:space="preserve"> тенге, </w:t>
      </w:r>
      <w:r w:rsidR="00124AE1" w:rsidRPr="00EC6B6B">
        <w:rPr>
          <w:color w:val="auto"/>
        </w:rPr>
        <w:t>61,27</w:t>
      </w:r>
      <w:r w:rsidRPr="00EC6B6B">
        <w:rPr>
          <w:color w:val="auto"/>
        </w:rPr>
        <w:t>% активов Фонда составляет ссудный портфель.</w:t>
      </w:r>
    </w:p>
    <w:p w14:paraId="6412FC28" w14:textId="77777777" w:rsidR="00014C1A" w:rsidRPr="00EC6B6B" w:rsidRDefault="00003B0B">
      <w:pPr>
        <w:ind w:firstLine="426"/>
        <w:jc w:val="both"/>
        <w:rPr>
          <w:color w:val="auto"/>
        </w:rPr>
      </w:pPr>
      <w:r w:rsidRPr="00EC6B6B">
        <w:rPr>
          <w:b/>
          <w:bCs/>
          <w:color w:val="auto"/>
        </w:rPr>
        <w:t> </w:t>
      </w:r>
    </w:p>
    <w:p w14:paraId="47607A2D" w14:textId="77777777" w:rsidR="00014C1A" w:rsidRDefault="00003B0B">
      <w:pPr>
        <w:ind w:firstLine="426"/>
        <w:jc w:val="center"/>
      </w:pPr>
      <w:r>
        <w:rPr>
          <w:b/>
          <w:bCs/>
        </w:rPr>
        <w:t>Показатели баланса</w:t>
      </w:r>
    </w:p>
    <w:p w14:paraId="2288DCA6" w14:textId="3E41414A" w:rsidR="00014C1A" w:rsidRDefault="00003B0B">
      <w:pPr>
        <w:ind w:firstLine="426"/>
        <w:jc w:val="center"/>
      </w:pPr>
      <w:r>
        <w:t> </w:t>
      </w:r>
    </w:p>
    <w:p w14:paraId="77859475" w14:textId="1543742A" w:rsidR="00014C1A" w:rsidRDefault="00482B04">
      <w:pPr>
        <w:ind w:firstLine="426"/>
        <w:jc w:val="center"/>
      </w:pPr>
      <w:r w:rsidRPr="00311A1C">
        <w:rPr>
          <w:noProof/>
          <w:color w:val="00B050"/>
        </w:rPr>
        <w:drawing>
          <wp:inline distT="0" distB="0" distL="0" distR="0" wp14:anchorId="40F67046" wp14:editId="4C54D640">
            <wp:extent cx="5940425" cy="2496950"/>
            <wp:effectExtent l="0" t="0" r="3175" b="17780"/>
            <wp:docPr id="17"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00003B0B">
        <w:rPr>
          <w:i/>
          <w:iCs/>
        </w:rPr>
        <w:t> </w:t>
      </w:r>
    </w:p>
    <w:p w14:paraId="5A9D49A2" w14:textId="77777777" w:rsidR="00014C1A" w:rsidRDefault="00003B0B">
      <w:pPr>
        <w:ind w:firstLine="426"/>
        <w:jc w:val="center"/>
      </w:pPr>
      <w:r>
        <w:rPr>
          <w:i/>
          <w:iCs/>
        </w:rPr>
        <w:t>Источник: данные Фонда</w:t>
      </w:r>
    </w:p>
    <w:p w14:paraId="5F1EB2E0" w14:textId="77777777" w:rsidR="00014C1A" w:rsidRDefault="00003B0B">
      <w:pPr>
        <w:ind w:firstLine="426"/>
        <w:jc w:val="center"/>
      </w:pPr>
      <w:r>
        <w:t> </w:t>
      </w:r>
    </w:p>
    <w:p w14:paraId="37C13236" w14:textId="4207295F" w:rsidR="00014C1A" w:rsidRDefault="00003B0B">
      <w:pPr>
        <w:ind w:firstLine="426"/>
        <w:jc w:val="both"/>
      </w:pPr>
      <w:r>
        <w:t xml:space="preserve">По результатам финансово-хозяйственной деятельности за </w:t>
      </w:r>
      <w:r w:rsidR="00482B04">
        <w:t>202</w:t>
      </w:r>
      <w:r w:rsidR="00AE6043">
        <w:t>1</w:t>
      </w:r>
      <w:r w:rsidR="00482B04">
        <w:t xml:space="preserve"> </w:t>
      </w:r>
      <w:r>
        <w:t xml:space="preserve">год Фондом получен чистый доход в размере </w:t>
      </w:r>
      <w:r w:rsidR="00AE6043">
        <w:t>25</w:t>
      </w:r>
      <w:r>
        <w:t xml:space="preserve"> </w:t>
      </w:r>
      <w:r w:rsidR="00B646B3">
        <w:t>млрд</w:t>
      </w:r>
      <w:r>
        <w:t xml:space="preserve"> тенге. </w:t>
      </w:r>
    </w:p>
    <w:p w14:paraId="09B01E9B" w14:textId="77777777" w:rsidR="00014C1A" w:rsidRDefault="00003B0B">
      <w:pPr>
        <w:ind w:firstLine="426"/>
        <w:jc w:val="both"/>
      </w:pPr>
      <w:r>
        <w:t> </w:t>
      </w:r>
    </w:p>
    <w:p w14:paraId="4492E3BE" w14:textId="77777777" w:rsidR="00014C1A" w:rsidRDefault="00003B0B">
      <w:pPr>
        <w:ind w:firstLine="426"/>
        <w:jc w:val="center"/>
      </w:pPr>
      <w:r w:rsidRPr="00481A44">
        <w:rPr>
          <w:b/>
          <w:bCs/>
        </w:rPr>
        <w:t>Показатели рентабельности</w:t>
      </w:r>
    </w:p>
    <w:p w14:paraId="5237DC25" w14:textId="77777777" w:rsidR="00014C1A" w:rsidRDefault="00003B0B">
      <w:pPr>
        <w:ind w:firstLine="426"/>
        <w:jc w:val="center"/>
      </w:pPr>
      <w:r>
        <w:t> </w:t>
      </w:r>
    </w:p>
    <w:tbl>
      <w:tblPr>
        <w:tblW w:w="0" w:type="auto"/>
        <w:tblInd w:w="40" w:type="dxa"/>
        <w:tblCellMar>
          <w:left w:w="0" w:type="dxa"/>
          <w:right w:w="0" w:type="dxa"/>
        </w:tblCellMar>
        <w:tblLook w:val="04A0" w:firstRow="1" w:lastRow="0" w:firstColumn="1" w:lastColumn="0" w:noHBand="0" w:noVBand="1"/>
      </w:tblPr>
      <w:tblGrid>
        <w:gridCol w:w="2919"/>
        <w:gridCol w:w="1211"/>
        <w:gridCol w:w="1061"/>
        <w:gridCol w:w="1059"/>
        <w:gridCol w:w="1033"/>
        <w:gridCol w:w="1086"/>
        <w:gridCol w:w="931"/>
      </w:tblGrid>
      <w:tr w:rsidR="00D16744" w:rsidRPr="00982FE8" w14:paraId="45EDE7C6" w14:textId="35FA059D" w:rsidTr="00DC3BE5">
        <w:trPr>
          <w:trHeight w:val="20"/>
        </w:trPr>
        <w:tc>
          <w:tcPr>
            <w:tcW w:w="2919"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14:paraId="44055567" w14:textId="77777777" w:rsidR="00D16744" w:rsidRPr="00EC6B6B" w:rsidRDefault="00D16744">
            <w:pPr>
              <w:jc w:val="center"/>
              <w:rPr>
                <w:color w:val="auto"/>
              </w:rPr>
            </w:pPr>
            <w:r w:rsidRPr="00EC6B6B">
              <w:rPr>
                <w:b/>
                <w:bCs/>
                <w:color w:val="auto"/>
              </w:rPr>
              <w:t>Показатели</w:t>
            </w:r>
          </w:p>
        </w:tc>
        <w:tc>
          <w:tcPr>
            <w:tcW w:w="1211" w:type="dxa"/>
            <w:tcBorders>
              <w:top w:val="single" w:sz="8" w:space="0" w:color="auto"/>
              <w:left w:val="nil"/>
              <w:bottom w:val="single" w:sz="8" w:space="0" w:color="auto"/>
              <w:right w:val="single" w:sz="4" w:space="0" w:color="auto"/>
            </w:tcBorders>
            <w:tcMar>
              <w:top w:w="0" w:type="dxa"/>
              <w:left w:w="40" w:type="dxa"/>
              <w:bottom w:w="0" w:type="dxa"/>
              <w:right w:w="40" w:type="dxa"/>
            </w:tcMar>
            <w:hideMark/>
          </w:tcPr>
          <w:p w14:paraId="65854D28" w14:textId="77777777" w:rsidR="00D16744" w:rsidRPr="00EC6B6B" w:rsidRDefault="00D16744">
            <w:pPr>
              <w:jc w:val="center"/>
              <w:rPr>
                <w:color w:val="auto"/>
              </w:rPr>
            </w:pPr>
            <w:r w:rsidRPr="00EC6B6B">
              <w:rPr>
                <w:b/>
                <w:bCs/>
                <w:color w:val="auto"/>
              </w:rPr>
              <w:t>2016 г.</w:t>
            </w:r>
          </w:p>
        </w:tc>
        <w:tc>
          <w:tcPr>
            <w:tcW w:w="1061" w:type="dxa"/>
            <w:tcBorders>
              <w:top w:val="single" w:sz="4" w:space="0" w:color="auto"/>
              <w:left w:val="single" w:sz="4" w:space="0" w:color="auto"/>
              <w:bottom w:val="single" w:sz="4" w:space="0" w:color="auto"/>
              <w:right w:val="single" w:sz="4" w:space="0" w:color="auto"/>
            </w:tcBorders>
          </w:tcPr>
          <w:p w14:paraId="127FF301" w14:textId="7622B0C4" w:rsidR="00D16744" w:rsidRPr="00EC6B6B" w:rsidRDefault="00D16744" w:rsidP="00482B04">
            <w:pPr>
              <w:jc w:val="center"/>
              <w:rPr>
                <w:b/>
                <w:bCs/>
                <w:color w:val="auto"/>
              </w:rPr>
            </w:pPr>
            <w:r w:rsidRPr="00EC6B6B">
              <w:rPr>
                <w:b/>
                <w:bCs/>
                <w:color w:val="auto"/>
              </w:rPr>
              <w:t>2017 г.</w:t>
            </w:r>
          </w:p>
        </w:tc>
        <w:tc>
          <w:tcPr>
            <w:tcW w:w="1059" w:type="dxa"/>
            <w:tcBorders>
              <w:top w:val="single" w:sz="4" w:space="0" w:color="auto"/>
              <w:left w:val="single" w:sz="4" w:space="0" w:color="auto"/>
              <w:bottom w:val="single" w:sz="4" w:space="0" w:color="auto"/>
              <w:right w:val="single" w:sz="4" w:space="0" w:color="auto"/>
            </w:tcBorders>
          </w:tcPr>
          <w:p w14:paraId="1552B4D1" w14:textId="6F430BE9" w:rsidR="00D16744" w:rsidRPr="00EC6B6B" w:rsidRDefault="00D16744" w:rsidP="00482B04">
            <w:pPr>
              <w:jc w:val="center"/>
              <w:rPr>
                <w:b/>
                <w:bCs/>
                <w:color w:val="auto"/>
              </w:rPr>
            </w:pPr>
            <w:r w:rsidRPr="00EC6B6B">
              <w:rPr>
                <w:b/>
                <w:bCs/>
                <w:color w:val="auto"/>
              </w:rPr>
              <w:t>2018 г.</w:t>
            </w:r>
          </w:p>
        </w:tc>
        <w:tc>
          <w:tcPr>
            <w:tcW w:w="1033" w:type="dxa"/>
            <w:tcBorders>
              <w:top w:val="single" w:sz="4" w:space="0" w:color="auto"/>
              <w:left w:val="single" w:sz="4" w:space="0" w:color="auto"/>
              <w:bottom w:val="single" w:sz="4" w:space="0" w:color="auto"/>
              <w:right w:val="single" w:sz="4" w:space="0" w:color="auto"/>
            </w:tcBorders>
          </w:tcPr>
          <w:p w14:paraId="7BEB7865" w14:textId="2525BD69" w:rsidR="00D16744" w:rsidRPr="00EC6B6B" w:rsidRDefault="00D16744" w:rsidP="00482B04">
            <w:pPr>
              <w:jc w:val="center"/>
              <w:rPr>
                <w:b/>
                <w:bCs/>
                <w:color w:val="auto"/>
              </w:rPr>
            </w:pPr>
            <w:r w:rsidRPr="00EC6B6B">
              <w:rPr>
                <w:b/>
                <w:bCs/>
                <w:color w:val="auto"/>
              </w:rPr>
              <w:t>2019 г.</w:t>
            </w:r>
          </w:p>
        </w:tc>
        <w:tc>
          <w:tcPr>
            <w:tcW w:w="1086" w:type="dxa"/>
            <w:tcBorders>
              <w:top w:val="single" w:sz="4" w:space="0" w:color="auto"/>
              <w:left w:val="single" w:sz="4" w:space="0" w:color="auto"/>
              <w:bottom w:val="single" w:sz="4" w:space="0" w:color="auto"/>
              <w:right w:val="single" w:sz="4" w:space="0" w:color="auto"/>
            </w:tcBorders>
          </w:tcPr>
          <w:p w14:paraId="1B73BA64" w14:textId="3F759742" w:rsidR="00D16744" w:rsidRPr="00EC6B6B" w:rsidRDefault="00D16744" w:rsidP="00482B04">
            <w:pPr>
              <w:jc w:val="center"/>
              <w:rPr>
                <w:b/>
                <w:bCs/>
                <w:color w:val="auto"/>
              </w:rPr>
            </w:pPr>
            <w:r w:rsidRPr="00EC6B6B">
              <w:rPr>
                <w:b/>
                <w:bCs/>
                <w:color w:val="auto"/>
              </w:rPr>
              <w:t>2020 г.</w:t>
            </w:r>
          </w:p>
        </w:tc>
        <w:tc>
          <w:tcPr>
            <w:tcW w:w="931" w:type="dxa"/>
            <w:tcBorders>
              <w:top w:val="single" w:sz="4" w:space="0" w:color="auto"/>
              <w:left w:val="single" w:sz="4" w:space="0" w:color="auto"/>
              <w:bottom w:val="single" w:sz="4" w:space="0" w:color="auto"/>
              <w:right w:val="single" w:sz="4" w:space="0" w:color="auto"/>
            </w:tcBorders>
          </w:tcPr>
          <w:p w14:paraId="53B62A61" w14:textId="1B23B22C" w:rsidR="00D16744" w:rsidRPr="00EC6B6B" w:rsidRDefault="00FC202B" w:rsidP="00482B04">
            <w:pPr>
              <w:jc w:val="center"/>
              <w:rPr>
                <w:b/>
                <w:bCs/>
                <w:color w:val="auto"/>
              </w:rPr>
            </w:pPr>
            <w:r>
              <w:rPr>
                <w:b/>
                <w:bCs/>
                <w:color w:val="auto"/>
              </w:rPr>
              <w:t>2021</w:t>
            </w:r>
          </w:p>
        </w:tc>
      </w:tr>
      <w:tr w:rsidR="00D16744" w:rsidRPr="00982FE8" w14:paraId="3D4AB2FB" w14:textId="0E84BCFC" w:rsidTr="00DC3BE5">
        <w:trPr>
          <w:trHeight w:val="20"/>
        </w:trPr>
        <w:tc>
          <w:tcPr>
            <w:tcW w:w="291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52E17484" w14:textId="77777777" w:rsidR="00D16744" w:rsidRPr="00EC6B6B" w:rsidRDefault="00D16744" w:rsidP="00482B04">
            <w:pPr>
              <w:jc w:val="both"/>
              <w:rPr>
                <w:color w:val="auto"/>
              </w:rPr>
            </w:pPr>
            <w:r w:rsidRPr="00EC6B6B">
              <w:rPr>
                <w:color w:val="auto"/>
                <w:lang w:val="en-US"/>
              </w:rPr>
              <w:t xml:space="preserve">ROA, </w:t>
            </w:r>
            <w:r w:rsidRPr="00EC6B6B">
              <w:rPr>
                <w:color w:val="auto"/>
              </w:rPr>
              <w:t>рентабельность активов</w:t>
            </w:r>
          </w:p>
        </w:tc>
        <w:tc>
          <w:tcPr>
            <w:tcW w:w="1211" w:type="dxa"/>
            <w:tcBorders>
              <w:top w:val="nil"/>
              <w:left w:val="nil"/>
              <w:bottom w:val="single" w:sz="8" w:space="0" w:color="auto"/>
              <w:right w:val="single" w:sz="4" w:space="0" w:color="auto"/>
            </w:tcBorders>
            <w:tcMar>
              <w:top w:w="0" w:type="dxa"/>
              <w:left w:w="40" w:type="dxa"/>
              <w:bottom w:w="0" w:type="dxa"/>
              <w:right w:w="40" w:type="dxa"/>
            </w:tcMar>
            <w:hideMark/>
          </w:tcPr>
          <w:p w14:paraId="67F50196" w14:textId="77777777" w:rsidR="00D16744" w:rsidRPr="00EC6B6B" w:rsidRDefault="00D16744" w:rsidP="00482B04">
            <w:pPr>
              <w:jc w:val="center"/>
              <w:rPr>
                <w:color w:val="auto"/>
              </w:rPr>
            </w:pPr>
            <w:r w:rsidRPr="00EC6B6B">
              <w:rPr>
                <w:color w:val="auto"/>
              </w:rPr>
              <w:t>1,6%</w:t>
            </w:r>
          </w:p>
        </w:tc>
        <w:tc>
          <w:tcPr>
            <w:tcW w:w="1061" w:type="dxa"/>
            <w:tcBorders>
              <w:top w:val="single" w:sz="4" w:space="0" w:color="auto"/>
              <w:left w:val="single" w:sz="4" w:space="0" w:color="auto"/>
              <w:bottom w:val="single" w:sz="4" w:space="0" w:color="auto"/>
              <w:right w:val="single" w:sz="4" w:space="0" w:color="auto"/>
            </w:tcBorders>
            <w:vAlign w:val="bottom"/>
          </w:tcPr>
          <w:p w14:paraId="2229BB6D" w14:textId="22C07CFC" w:rsidR="00D16744" w:rsidRPr="00EC6B6B" w:rsidRDefault="00D16744" w:rsidP="00482B04">
            <w:pPr>
              <w:jc w:val="center"/>
              <w:rPr>
                <w:color w:val="auto"/>
              </w:rPr>
            </w:pPr>
            <w:r w:rsidRPr="00EC6B6B">
              <w:rPr>
                <w:color w:val="auto"/>
              </w:rPr>
              <w:t>1,2%</w:t>
            </w:r>
          </w:p>
        </w:tc>
        <w:tc>
          <w:tcPr>
            <w:tcW w:w="1059" w:type="dxa"/>
            <w:tcBorders>
              <w:top w:val="single" w:sz="4" w:space="0" w:color="auto"/>
              <w:left w:val="single" w:sz="4" w:space="0" w:color="auto"/>
              <w:bottom w:val="single" w:sz="4" w:space="0" w:color="auto"/>
              <w:right w:val="single" w:sz="4" w:space="0" w:color="auto"/>
            </w:tcBorders>
            <w:vAlign w:val="center"/>
          </w:tcPr>
          <w:p w14:paraId="1D8E505E" w14:textId="4D87A32B" w:rsidR="00D16744" w:rsidRPr="00EC6B6B" w:rsidRDefault="00D16744" w:rsidP="00482B04">
            <w:pPr>
              <w:jc w:val="center"/>
              <w:rPr>
                <w:color w:val="auto"/>
              </w:rPr>
            </w:pPr>
            <w:r w:rsidRPr="00EC6B6B">
              <w:rPr>
                <w:color w:val="auto"/>
              </w:rPr>
              <w:t>-3,8%</w:t>
            </w:r>
          </w:p>
        </w:tc>
        <w:tc>
          <w:tcPr>
            <w:tcW w:w="1033" w:type="dxa"/>
            <w:tcBorders>
              <w:top w:val="single" w:sz="4" w:space="0" w:color="auto"/>
              <w:left w:val="single" w:sz="4" w:space="0" w:color="auto"/>
              <w:bottom w:val="single" w:sz="4" w:space="0" w:color="auto"/>
              <w:right w:val="single" w:sz="4" w:space="0" w:color="auto"/>
            </w:tcBorders>
            <w:vAlign w:val="bottom"/>
          </w:tcPr>
          <w:p w14:paraId="4BA7E3A0" w14:textId="678B775E" w:rsidR="00D16744" w:rsidRPr="00EC6B6B" w:rsidRDefault="00D16744" w:rsidP="00482B04">
            <w:pPr>
              <w:jc w:val="center"/>
              <w:rPr>
                <w:color w:val="auto"/>
              </w:rPr>
            </w:pPr>
            <w:r w:rsidRPr="00EC6B6B">
              <w:rPr>
                <w:color w:val="auto"/>
              </w:rPr>
              <w:t>1,2%</w:t>
            </w:r>
          </w:p>
        </w:tc>
        <w:tc>
          <w:tcPr>
            <w:tcW w:w="1086" w:type="dxa"/>
            <w:tcBorders>
              <w:top w:val="single" w:sz="4" w:space="0" w:color="auto"/>
              <w:left w:val="single" w:sz="4" w:space="0" w:color="auto"/>
              <w:bottom w:val="single" w:sz="4" w:space="0" w:color="auto"/>
              <w:right w:val="single" w:sz="4" w:space="0" w:color="auto"/>
            </w:tcBorders>
          </w:tcPr>
          <w:p w14:paraId="55EA3BEB" w14:textId="6C6F4DAD" w:rsidR="00D16744" w:rsidRPr="00481A44" w:rsidRDefault="00D16744" w:rsidP="00482B04">
            <w:pPr>
              <w:jc w:val="center"/>
              <w:rPr>
                <w:color w:val="auto"/>
              </w:rPr>
            </w:pPr>
            <w:r w:rsidRPr="00481A44">
              <w:rPr>
                <w:color w:val="auto"/>
              </w:rPr>
              <w:t>1,37%</w:t>
            </w:r>
          </w:p>
        </w:tc>
        <w:tc>
          <w:tcPr>
            <w:tcW w:w="931" w:type="dxa"/>
            <w:tcBorders>
              <w:top w:val="single" w:sz="4" w:space="0" w:color="auto"/>
              <w:left w:val="single" w:sz="4" w:space="0" w:color="auto"/>
              <w:bottom w:val="single" w:sz="4" w:space="0" w:color="auto"/>
              <w:right w:val="single" w:sz="4" w:space="0" w:color="auto"/>
            </w:tcBorders>
          </w:tcPr>
          <w:p w14:paraId="1552B8AF" w14:textId="3E697446" w:rsidR="00D16744" w:rsidRPr="00481A44" w:rsidRDefault="008F7688" w:rsidP="00482B04">
            <w:pPr>
              <w:jc w:val="center"/>
              <w:rPr>
                <w:color w:val="auto"/>
              </w:rPr>
            </w:pPr>
            <w:r w:rsidRPr="00481A44">
              <w:t>6,81%</w:t>
            </w:r>
          </w:p>
        </w:tc>
      </w:tr>
      <w:tr w:rsidR="00D16744" w:rsidRPr="00982FE8" w14:paraId="3992B687" w14:textId="2183E0B3" w:rsidTr="00DC3BE5">
        <w:trPr>
          <w:trHeight w:val="20"/>
        </w:trPr>
        <w:tc>
          <w:tcPr>
            <w:tcW w:w="291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75C118B4" w14:textId="77777777" w:rsidR="00D16744" w:rsidRPr="00EC6B6B" w:rsidRDefault="00D16744" w:rsidP="00482B04">
            <w:pPr>
              <w:jc w:val="both"/>
              <w:rPr>
                <w:color w:val="auto"/>
              </w:rPr>
            </w:pPr>
            <w:r w:rsidRPr="00EC6B6B">
              <w:rPr>
                <w:color w:val="auto"/>
                <w:lang w:val="en-US"/>
              </w:rPr>
              <w:t xml:space="preserve">ROE, </w:t>
            </w:r>
            <w:r w:rsidRPr="00EC6B6B">
              <w:rPr>
                <w:color w:val="auto"/>
              </w:rPr>
              <w:t>рентабельность капитала</w:t>
            </w:r>
          </w:p>
        </w:tc>
        <w:tc>
          <w:tcPr>
            <w:tcW w:w="1211" w:type="dxa"/>
            <w:tcBorders>
              <w:top w:val="nil"/>
              <w:left w:val="nil"/>
              <w:bottom w:val="single" w:sz="8" w:space="0" w:color="auto"/>
              <w:right w:val="single" w:sz="4" w:space="0" w:color="auto"/>
            </w:tcBorders>
            <w:tcMar>
              <w:top w:w="0" w:type="dxa"/>
              <w:left w:w="40" w:type="dxa"/>
              <w:bottom w:w="0" w:type="dxa"/>
              <w:right w:w="40" w:type="dxa"/>
            </w:tcMar>
            <w:hideMark/>
          </w:tcPr>
          <w:p w14:paraId="169DAA15" w14:textId="77777777" w:rsidR="00D16744" w:rsidRPr="00EC6B6B" w:rsidRDefault="00D16744" w:rsidP="00482B04">
            <w:pPr>
              <w:jc w:val="center"/>
              <w:rPr>
                <w:color w:val="auto"/>
              </w:rPr>
            </w:pPr>
            <w:r w:rsidRPr="00EC6B6B">
              <w:rPr>
                <w:color w:val="auto"/>
              </w:rPr>
              <w:t>5,8%</w:t>
            </w:r>
          </w:p>
        </w:tc>
        <w:tc>
          <w:tcPr>
            <w:tcW w:w="1061" w:type="dxa"/>
            <w:tcBorders>
              <w:top w:val="single" w:sz="4" w:space="0" w:color="auto"/>
              <w:left w:val="single" w:sz="4" w:space="0" w:color="auto"/>
              <w:bottom w:val="single" w:sz="4" w:space="0" w:color="auto"/>
              <w:right w:val="single" w:sz="4" w:space="0" w:color="auto"/>
            </w:tcBorders>
            <w:vAlign w:val="bottom"/>
          </w:tcPr>
          <w:p w14:paraId="6B239E4E" w14:textId="0503E1B5" w:rsidR="00D16744" w:rsidRPr="00EC6B6B" w:rsidRDefault="00D16744" w:rsidP="00482B04">
            <w:pPr>
              <w:jc w:val="center"/>
              <w:rPr>
                <w:color w:val="auto"/>
              </w:rPr>
            </w:pPr>
            <w:r w:rsidRPr="00EC6B6B">
              <w:rPr>
                <w:color w:val="auto"/>
              </w:rPr>
              <w:t>4,1%</w:t>
            </w:r>
          </w:p>
        </w:tc>
        <w:tc>
          <w:tcPr>
            <w:tcW w:w="1059" w:type="dxa"/>
            <w:tcBorders>
              <w:top w:val="single" w:sz="4" w:space="0" w:color="auto"/>
              <w:left w:val="single" w:sz="4" w:space="0" w:color="auto"/>
              <w:bottom w:val="single" w:sz="4" w:space="0" w:color="auto"/>
              <w:right w:val="single" w:sz="4" w:space="0" w:color="auto"/>
            </w:tcBorders>
            <w:vAlign w:val="center"/>
          </w:tcPr>
          <w:p w14:paraId="632C64AD" w14:textId="00F699F9" w:rsidR="00D16744" w:rsidRPr="00EC6B6B" w:rsidRDefault="00D16744" w:rsidP="00482B04">
            <w:pPr>
              <w:jc w:val="center"/>
              <w:rPr>
                <w:color w:val="auto"/>
              </w:rPr>
            </w:pPr>
            <w:r w:rsidRPr="00EC6B6B">
              <w:rPr>
                <w:color w:val="auto"/>
              </w:rPr>
              <w:t>-13,7%</w:t>
            </w:r>
          </w:p>
        </w:tc>
        <w:tc>
          <w:tcPr>
            <w:tcW w:w="1033" w:type="dxa"/>
            <w:tcBorders>
              <w:top w:val="single" w:sz="4" w:space="0" w:color="auto"/>
              <w:left w:val="single" w:sz="4" w:space="0" w:color="auto"/>
              <w:bottom w:val="single" w:sz="4" w:space="0" w:color="auto"/>
              <w:right w:val="single" w:sz="4" w:space="0" w:color="auto"/>
            </w:tcBorders>
            <w:vAlign w:val="bottom"/>
          </w:tcPr>
          <w:p w14:paraId="281E36F1" w14:textId="0F7DA84C" w:rsidR="00D16744" w:rsidRPr="00EC6B6B" w:rsidRDefault="00D16744" w:rsidP="00482B04">
            <w:pPr>
              <w:jc w:val="center"/>
              <w:rPr>
                <w:color w:val="auto"/>
              </w:rPr>
            </w:pPr>
            <w:r w:rsidRPr="00EC6B6B">
              <w:rPr>
                <w:color w:val="auto"/>
              </w:rPr>
              <w:t>4,8%</w:t>
            </w:r>
          </w:p>
        </w:tc>
        <w:tc>
          <w:tcPr>
            <w:tcW w:w="1086" w:type="dxa"/>
            <w:tcBorders>
              <w:top w:val="single" w:sz="4" w:space="0" w:color="auto"/>
              <w:left w:val="single" w:sz="4" w:space="0" w:color="auto"/>
              <w:bottom w:val="single" w:sz="4" w:space="0" w:color="auto"/>
              <w:right w:val="single" w:sz="4" w:space="0" w:color="auto"/>
            </w:tcBorders>
          </w:tcPr>
          <w:p w14:paraId="07B61034" w14:textId="62AE1FFC" w:rsidR="00D16744" w:rsidRPr="00481A44" w:rsidRDefault="00D16744" w:rsidP="00482B04">
            <w:pPr>
              <w:jc w:val="center"/>
              <w:rPr>
                <w:color w:val="auto"/>
              </w:rPr>
            </w:pPr>
            <w:r w:rsidRPr="00481A44">
              <w:rPr>
                <w:color w:val="auto"/>
              </w:rPr>
              <w:t>4,63</w:t>
            </w:r>
          </w:p>
        </w:tc>
        <w:tc>
          <w:tcPr>
            <w:tcW w:w="931" w:type="dxa"/>
            <w:tcBorders>
              <w:top w:val="single" w:sz="4" w:space="0" w:color="auto"/>
              <w:left w:val="single" w:sz="4" w:space="0" w:color="auto"/>
              <w:bottom w:val="single" w:sz="4" w:space="0" w:color="auto"/>
              <w:right w:val="single" w:sz="4" w:space="0" w:color="auto"/>
            </w:tcBorders>
          </w:tcPr>
          <w:p w14:paraId="5B5005AC" w14:textId="582898D7" w:rsidR="00D16744" w:rsidRPr="00481A44" w:rsidRDefault="008F7688" w:rsidP="00482B04">
            <w:pPr>
              <w:jc w:val="center"/>
              <w:rPr>
                <w:color w:val="auto"/>
              </w:rPr>
            </w:pPr>
            <w:r w:rsidRPr="00481A44">
              <w:t>19,18%</w:t>
            </w:r>
          </w:p>
        </w:tc>
      </w:tr>
      <w:tr w:rsidR="00D16744" w:rsidRPr="00982FE8" w14:paraId="1D8B08C3" w14:textId="27F67EBD" w:rsidTr="00DC3BE5">
        <w:trPr>
          <w:trHeight w:val="20"/>
        </w:trPr>
        <w:tc>
          <w:tcPr>
            <w:tcW w:w="291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4C713D26" w14:textId="77777777" w:rsidR="00D16744" w:rsidRPr="00EC6B6B" w:rsidRDefault="00D16744" w:rsidP="00482B04">
            <w:pPr>
              <w:jc w:val="both"/>
              <w:rPr>
                <w:color w:val="auto"/>
              </w:rPr>
            </w:pPr>
            <w:r w:rsidRPr="00EC6B6B">
              <w:rPr>
                <w:color w:val="auto"/>
              </w:rPr>
              <w:t>Рентабельность деятельности</w:t>
            </w:r>
          </w:p>
        </w:tc>
        <w:tc>
          <w:tcPr>
            <w:tcW w:w="1211" w:type="dxa"/>
            <w:tcBorders>
              <w:top w:val="nil"/>
              <w:left w:val="nil"/>
              <w:bottom w:val="single" w:sz="8" w:space="0" w:color="auto"/>
              <w:right w:val="single" w:sz="4" w:space="0" w:color="auto"/>
            </w:tcBorders>
            <w:tcMar>
              <w:top w:w="0" w:type="dxa"/>
              <w:left w:w="40" w:type="dxa"/>
              <w:bottom w:w="0" w:type="dxa"/>
              <w:right w:w="40" w:type="dxa"/>
            </w:tcMar>
            <w:hideMark/>
          </w:tcPr>
          <w:p w14:paraId="1040B5CC" w14:textId="77777777" w:rsidR="00D16744" w:rsidRPr="00EC6B6B" w:rsidRDefault="00D16744" w:rsidP="00482B04">
            <w:pPr>
              <w:jc w:val="center"/>
              <w:rPr>
                <w:color w:val="auto"/>
              </w:rPr>
            </w:pPr>
            <w:r w:rsidRPr="00EC6B6B">
              <w:rPr>
                <w:color w:val="auto"/>
              </w:rPr>
              <w:t>17,3%</w:t>
            </w:r>
          </w:p>
        </w:tc>
        <w:tc>
          <w:tcPr>
            <w:tcW w:w="1061" w:type="dxa"/>
            <w:tcBorders>
              <w:top w:val="single" w:sz="4" w:space="0" w:color="auto"/>
              <w:left w:val="single" w:sz="4" w:space="0" w:color="auto"/>
              <w:bottom w:val="single" w:sz="4" w:space="0" w:color="auto"/>
              <w:right w:val="single" w:sz="4" w:space="0" w:color="auto"/>
            </w:tcBorders>
            <w:vAlign w:val="bottom"/>
          </w:tcPr>
          <w:p w14:paraId="66A342CF" w14:textId="4D0DEA9D" w:rsidR="00D16744" w:rsidRPr="00EC6B6B" w:rsidRDefault="00D16744" w:rsidP="00482B04">
            <w:pPr>
              <w:jc w:val="center"/>
              <w:rPr>
                <w:color w:val="auto"/>
              </w:rPr>
            </w:pPr>
            <w:r w:rsidRPr="00EC6B6B">
              <w:rPr>
                <w:color w:val="auto"/>
              </w:rPr>
              <w:t>14,1%</w:t>
            </w:r>
          </w:p>
        </w:tc>
        <w:tc>
          <w:tcPr>
            <w:tcW w:w="1059" w:type="dxa"/>
            <w:tcBorders>
              <w:top w:val="single" w:sz="4" w:space="0" w:color="auto"/>
              <w:left w:val="single" w:sz="4" w:space="0" w:color="auto"/>
              <w:bottom w:val="single" w:sz="4" w:space="0" w:color="auto"/>
              <w:right w:val="single" w:sz="4" w:space="0" w:color="auto"/>
            </w:tcBorders>
            <w:vAlign w:val="center"/>
          </w:tcPr>
          <w:p w14:paraId="7A8615A4" w14:textId="29EE65F3" w:rsidR="00D16744" w:rsidRPr="00EC6B6B" w:rsidRDefault="00D16744" w:rsidP="00482B04">
            <w:pPr>
              <w:jc w:val="center"/>
              <w:rPr>
                <w:color w:val="auto"/>
              </w:rPr>
            </w:pPr>
            <w:r w:rsidRPr="00EC6B6B">
              <w:rPr>
                <w:color w:val="auto"/>
              </w:rPr>
              <w:t>-28,6%</w:t>
            </w:r>
          </w:p>
        </w:tc>
        <w:tc>
          <w:tcPr>
            <w:tcW w:w="1033" w:type="dxa"/>
            <w:tcBorders>
              <w:top w:val="single" w:sz="4" w:space="0" w:color="auto"/>
              <w:left w:val="single" w:sz="4" w:space="0" w:color="auto"/>
              <w:bottom w:val="single" w:sz="4" w:space="0" w:color="auto"/>
              <w:right w:val="single" w:sz="4" w:space="0" w:color="auto"/>
            </w:tcBorders>
            <w:vAlign w:val="bottom"/>
          </w:tcPr>
          <w:p w14:paraId="584B6452" w14:textId="39C9D7BF" w:rsidR="00D16744" w:rsidRPr="00EC6B6B" w:rsidRDefault="00D16744" w:rsidP="00482B04">
            <w:pPr>
              <w:jc w:val="center"/>
              <w:rPr>
                <w:color w:val="auto"/>
              </w:rPr>
            </w:pPr>
            <w:r w:rsidRPr="00EC6B6B">
              <w:rPr>
                <w:color w:val="auto"/>
              </w:rPr>
              <w:t>21%</w:t>
            </w:r>
          </w:p>
        </w:tc>
        <w:tc>
          <w:tcPr>
            <w:tcW w:w="1086" w:type="dxa"/>
            <w:tcBorders>
              <w:top w:val="single" w:sz="4" w:space="0" w:color="auto"/>
              <w:left w:val="single" w:sz="4" w:space="0" w:color="auto"/>
              <w:bottom w:val="single" w:sz="4" w:space="0" w:color="auto"/>
              <w:right w:val="single" w:sz="4" w:space="0" w:color="auto"/>
            </w:tcBorders>
          </w:tcPr>
          <w:p w14:paraId="64DDB3FD" w14:textId="0F668445" w:rsidR="00D16744" w:rsidRPr="00481A44" w:rsidRDefault="00D16744" w:rsidP="00482B04">
            <w:pPr>
              <w:jc w:val="center"/>
              <w:rPr>
                <w:color w:val="auto"/>
              </w:rPr>
            </w:pPr>
            <w:r w:rsidRPr="00481A44">
              <w:rPr>
                <w:color w:val="auto"/>
              </w:rPr>
              <w:t>16,51%</w:t>
            </w:r>
          </w:p>
        </w:tc>
        <w:tc>
          <w:tcPr>
            <w:tcW w:w="931" w:type="dxa"/>
            <w:tcBorders>
              <w:top w:val="single" w:sz="4" w:space="0" w:color="auto"/>
              <w:left w:val="single" w:sz="4" w:space="0" w:color="auto"/>
              <w:bottom w:val="single" w:sz="4" w:space="0" w:color="auto"/>
              <w:right w:val="single" w:sz="4" w:space="0" w:color="auto"/>
            </w:tcBorders>
          </w:tcPr>
          <w:p w14:paraId="3668D7AD" w14:textId="74914226" w:rsidR="00D16744" w:rsidRPr="00481A44" w:rsidRDefault="008F7688" w:rsidP="00482B04">
            <w:pPr>
              <w:jc w:val="center"/>
              <w:rPr>
                <w:color w:val="auto"/>
              </w:rPr>
            </w:pPr>
            <w:r w:rsidRPr="00481A44">
              <w:t>104,3%</w:t>
            </w:r>
          </w:p>
        </w:tc>
      </w:tr>
      <w:tr w:rsidR="00D16744" w:rsidRPr="00982FE8" w14:paraId="6FFDB4F1" w14:textId="6F26D878" w:rsidTr="00DC3BE5">
        <w:trPr>
          <w:trHeight w:val="20"/>
        </w:trPr>
        <w:tc>
          <w:tcPr>
            <w:tcW w:w="291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79DBD669" w14:textId="5520C4F8" w:rsidR="00D16744" w:rsidRPr="00EC6B6B" w:rsidRDefault="00D16744" w:rsidP="00482B04">
            <w:pPr>
              <w:jc w:val="both"/>
              <w:rPr>
                <w:color w:val="auto"/>
              </w:rPr>
            </w:pPr>
            <w:r w:rsidRPr="00EC6B6B">
              <w:rPr>
                <w:color w:val="auto"/>
              </w:rPr>
              <w:t xml:space="preserve">Чистый доход, в </w:t>
            </w:r>
            <w:r>
              <w:rPr>
                <w:color w:val="auto"/>
              </w:rPr>
              <w:t>млн</w:t>
            </w:r>
            <w:r w:rsidRPr="00EC6B6B">
              <w:rPr>
                <w:color w:val="auto"/>
              </w:rPr>
              <w:t xml:space="preserve"> тенге</w:t>
            </w:r>
          </w:p>
        </w:tc>
        <w:tc>
          <w:tcPr>
            <w:tcW w:w="1211" w:type="dxa"/>
            <w:tcBorders>
              <w:top w:val="nil"/>
              <w:left w:val="nil"/>
              <w:bottom w:val="single" w:sz="8" w:space="0" w:color="auto"/>
              <w:right w:val="single" w:sz="4" w:space="0" w:color="auto"/>
            </w:tcBorders>
            <w:tcMar>
              <w:top w:w="0" w:type="dxa"/>
              <w:left w:w="40" w:type="dxa"/>
              <w:bottom w:w="0" w:type="dxa"/>
              <w:right w:w="40" w:type="dxa"/>
            </w:tcMar>
            <w:hideMark/>
          </w:tcPr>
          <w:p w14:paraId="1C792E9B" w14:textId="77777777" w:rsidR="00D16744" w:rsidRPr="00EC6B6B" w:rsidRDefault="00D16744" w:rsidP="00482B04">
            <w:pPr>
              <w:jc w:val="center"/>
              <w:rPr>
                <w:color w:val="auto"/>
              </w:rPr>
            </w:pPr>
            <w:r w:rsidRPr="00EC6B6B">
              <w:rPr>
                <w:color w:val="auto"/>
              </w:rPr>
              <w:t>5 593</w:t>
            </w:r>
          </w:p>
        </w:tc>
        <w:tc>
          <w:tcPr>
            <w:tcW w:w="1061" w:type="dxa"/>
            <w:tcBorders>
              <w:top w:val="single" w:sz="4" w:space="0" w:color="auto"/>
              <w:left w:val="single" w:sz="4" w:space="0" w:color="auto"/>
              <w:bottom w:val="single" w:sz="4" w:space="0" w:color="auto"/>
              <w:right w:val="single" w:sz="4" w:space="0" w:color="auto"/>
            </w:tcBorders>
            <w:vAlign w:val="bottom"/>
          </w:tcPr>
          <w:p w14:paraId="5E900649" w14:textId="6AED0249" w:rsidR="00D16744" w:rsidRPr="00EC6B6B" w:rsidRDefault="00D16744" w:rsidP="00482B04">
            <w:pPr>
              <w:jc w:val="center"/>
              <w:rPr>
                <w:color w:val="auto"/>
              </w:rPr>
            </w:pPr>
            <w:r w:rsidRPr="00EC6B6B">
              <w:rPr>
                <w:color w:val="auto"/>
              </w:rPr>
              <w:t>4 113</w:t>
            </w:r>
          </w:p>
        </w:tc>
        <w:tc>
          <w:tcPr>
            <w:tcW w:w="1059" w:type="dxa"/>
            <w:tcBorders>
              <w:top w:val="single" w:sz="4" w:space="0" w:color="auto"/>
              <w:left w:val="single" w:sz="4" w:space="0" w:color="auto"/>
              <w:bottom w:val="single" w:sz="4" w:space="0" w:color="auto"/>
              <w:right w:val="single" w:sz="4" w:space="0" w:color="auto"/>
            </w:tcBorders>
            <w:vAlign w:val="center"/>
          </w:tcPr>
          <w:p w14:paraId="63E41702" w14:textId="217DA5B4" w:rsidR="00D16744" w:rsidRPr="00EC6B6B" w:rsidRDefault="00D16744" w:rsidP="00482B04">
            <w:pPr>
              <w:jc w:val="center"/>
              <w:rPr>
                <w:color w:val="auto"/>
              </w:rPr>
            </w:pPr>
            <w:r w:rsidRPr="00EC6B6B">
              <w:rPr>
                <w:color w:val="auto"/>
              </w:rPr>
              <w:t>- 11 930</w:t>
            </w:r>
          </w:p>
        </w:tc>
        <w:tc>
          <w:tcPr>
            <w:tcW w:w="1033" w:type="dxa"/>
            <w:tcBorders>
              <w:top w:val="single" w:sz="4" w:space="0" w:color="auto"/>
              <w:left w:val="single" w:sz="4" w:space="0" w:color="auto"/>
              <w:bottom w:val="single" w:sz="4" w:space="0" w:color="auto"/>
              <w:right w:val="single" w:sz="4" w:space="0" w:color="auto"/>
            </w:tcBorders>
            <w:vAlign w:val="bottom"/>
          </w:tcPr>
          <w:p w14:paraId="4889559F" w14:textId="6C4AB58B" w:rsidR="00D16744" w:rsidRPr="00EC6B6B" w:rsidRDefault="00D16744" w:rsidP="00482B04">
            <w:pPr>
              <w:jc w:val="center"/>
              <w:rPr>
                <w:color w:val="auto"/>
              </w:rPr>
            </w:pPr>
            <w:r w:rsidRPr="00EC6B6B">
              <w:rPr>
                <w:color w:val="auto"/>
              </w:rPr>
              <w:t>3 804</w:t>
            </w:r>
          </w:p>
        </w:tc>
        <w:tc>
          <w:tcPr>
            <w:tcW w:w="1086" w:type="dxa"/>
            <w:tcBorders>
              <w:top w:val="single" w:sz="4" w:space="0" w:color="auto"/>
              <w:left w:val="single" w:sz="4" w:space="0" w:color="auto"/>
              <w:bottom w:val="single" w:sz="4" w:space="0" w:color="auto"/>
              <w:right w:val="single" w:sz="4" w:space="0" w:color="auto"/>
            </w:tcBorders>
          </w:tcPr>
          <w:p w14:paraId="7687C296" w14:textId="09237675" w:rsidR="00D16744" w:rsidRPr="00481A44" w:rsidRDefault="00D16744" w:rsidP="00482B04">
            <w:pPr>
              <w:jc w:val="center"/>
              <w:rPr>
                <w:color w:val="auto"/>
              </w:rPr>
            </w:pPr>
            <w:r w:rsidRPr="00481A44">
              <w:rPr>
                <w:color w:val="auto"/>
              </w:rPr>
              <w:t>4 763</w:t>
            </w:r>
          </w:p>
        </w:tc>
        <w:tc>
          <w:tcPr>
            <w:tcW w:w="931" w:type="dxa"/>
            <w:tcBorders>
              <w:top w:val="single" w:sz="4" w:space="0" w:color="auto"/>
              <w:left w:val="single" w:sz="4" w:space="0" w:color="auto"/>
              <w:bottom w:val="single" w:sz="4" w:space="0" w:color="auto"/>
              <w:right w:val="single" w:sz="4" w:space="0" w:color="auto"/>
            </w:tcBorders>
          </w:tcPr>
          <w:p w14:paraId="404B5E84" w14:textId="2F159A55" w:rsidR="00D16744" w:rsidRPr="00481A44" w:rsidRDefault="008F7688" w:rsidP="00482B04">
            <w:pPr>
              <w:jc w:val="center"/>
              <w:rPr>
                <w:color w:val="auto"/>
              </w:rPr>
            </w:pPr>
            <w:r w:rsidRPr="00481A44">
              <w:rPr>
                <w:color w:val="auto"/>
              </w:rPr>
              <w:t>25 031</w:t>
            </w:r>
          </w:p>
        </w:tc>
      </w:tr>
      <w:tr w:rsidR="00D16744" w:rsidRPr="00982FE8" w14:paraId="601EC5C1" w14:textId="2675CF96" w:rsidTr="00DC3BE5">
        <w:trPr>
          <w:trHeight w:val="20"/>
        </w:trPr>
        <w:tc>
          <w:tcPr>
            <w:tcW w:w="2919" w:type="dxa"/>
            <w:tcBorders>
              <w:top w:val="nil"/>
              <w:left w:val="single" w:sz="8" w:space="0" w:color="auto"/>
              <w:bottom w:val="single" w:sz="8" w:space="0" w:color="auto"/>
              <w:right w:val="single" w:sz="8" w:space="0" w:color="auto"/>
            </w:tcBorders>
            <w:tcMar>
              <w:top w:w="0" w:type="dxa"/>
              <w:left w:w="40" w:type="dxa"/>
              <w:bottom w:w="0" w:type="dxa"/>
              <w:right w:w="40" w:type="dxa"/>
            </w:tcMar>
          </w:tcPr>
          <w:p w14:paraId="73136A13" w14:textId="31FC9327" w:rsidR="00D16744" w:rsidRPr="00A21508" w:rsidRDefault="00D16744">
            <w:pPr>
              <w:jc w:val="both"/>
              <w:rPr>
                <w:color w:val="auto"/>
              </w:rPr>
            </w:pPr>
          </w:p>
        </w:tc>
        <w:tc>
          <w:tcPr>
            <w:tcW w:w="1211" w:type="dxa"/>
            <w:tcBorders>
              <w:top w:val="nil"/>
              <w:left w:val="nil"/>
              <w:bottom w:val="single" w:sz="8" w:space="0" w:color="auto"/>
              <w:right w:val="single" w:sz="4" w:space="0" w:color="auto"/>
            </w:tcBorders>
            <w:tcMar>
              <w:top w:w="0" w:type="dxa"/>
              <w:left w:w="40" w:type="dxa"/>
              <w:bottom w:w="0" w:type="dxa"/>
              <w:right w:w="40" w:type="dxa"/>
            </w:tcMar>
          </w:tcPr>
          <w:p w14:paraId="2D16D60F" w14:textId="41A605E7" w:rsidR="00D16744" w:rsidRPr="00A21508" w:rsidRDefault="00D16744">
            <w:pPr>
              <w:jc w:val="center"/>
              <w:rPr>
                <w:color w:val="auto"/>
              </w:rPr>
            </w:pPr>
          </w:p>
        </w:tc>
        <w:tc>
          <w:tcPr>
            <w:tcW w:w="1061" w:type="dxa"/>
            <w:tcBorders>
              <w:top w:val="single" w:sz="4" w:space="0" w:color="auto"/>
              <w:left w:val="single" w:sz="4" w:space="0" w:color="auto"/>
              <w:bottom w:val="single" w:sz="4" w:space="0" w:color="auto"/>
              <w:right w:val="single" w:sz="4" w:space="0" w:color="auto"/>
            </w:tcBorders>
          </w:tcPr>
          <w:p w14:paraId="0CEC5D2B" w14:textId="77777777" w:rsidR="00D16744" w:rsidRPr="00A21508" w:rsidDel="00482B04" w:rsidRDefault="00D16744">
            <w:pPr>
              <w:jc w:val="center"/>
              <w:rPr>
                <w:color w:val="auto"/>
              </w:rPr>
            </w:pPr>
          </w:p>
        </w:tc>
        <w:tc>
          <w:tcPr>
            <w:tcW w:w="1059" w:type="dxa"/>
            <w:tcBorders>
              <w:top w:val="single" w:sz="4" w:space="0" w:color="auto"/>
              <w:left w:val="single" w:sz="4" w:space="0" w:color="auto"/>
              <w:bottom w:val="single" w:sz="4" w:space="0" w:color="auto"/>
              <w:right w:val="single" w:sz="4" w:space="0" w:color="auto"/>
            </w:tcBorders>
          </w:tcPr>
          <w:p w14:paraId="63CB8DBA" w14:textId="564E179A" w:rsidR="00D16744" w:rsidRPr="00A21508" w:rsidDel="00482B04" w:rsidRDefault="00D16744">
            <w:pPr>
              <w:jc w:val="center"/>
              <w:rPr>
                <w:color w:val="auto"/>
              </w:rPr>
            </w:pPr>
          </w:p>
        </w:tc>
        <w:tc>
          <w:tcPr>
            <w:tcW w:w="1033" w:type="dxa"/>
            <w:tcBorders>
              <w:top w:val="single" w:sz="4" w:space="0" w:color="auto"/>
              <w:left w:val="single" w:sz="4" w:space="0" w:color="auto"/>
              <w:bottom w:val="single" w:sz="4" w:space="0" w:color="auto"/>
              <w:right w:val="single" w:sz="4" w:space="0" w:color="auto"/>
            </w:tcBorders>
          </w:tcPr>
          <w:p w14:paraId="2E3D5EA6" w14:textId="4053A41C" w:rsidR="00D16744" w:rsidRPr="00A21508" w:rsidDel="00482B04" w:rsidRDefault="00D16744">
            <w:pPr>
              <w:jc w:val="center"/>
              <w:rPr>
                <w:color w:val="auto"/>
              </w:rPr>
            </w:pPr>
          </w:p>
        </w:tc>
        <w:tc>
          <w:tcPr>
            <w:tcW w:w="1086" w:type="dxa"/>
            <w:tcBorders>
              <w:top w:val="single" w:sz="4" w:space="0" w:color="auto"/>
              <w:left w:val="single" w:sz="4" w:space="0" w:color="auto"/>
              <w:bottom w:val="single" w:sz="4" w:space="0" w:color="auto"/>
              <w:right w:val="single" w:sz="4" w:space="0" w:color="auto"/>
            </w:tcBorders>
          </w:tcPr>
          <w:p w14:paraId="40C20766" w14:textId="57A69F62" w:rsidR="00D16744" w:rsidRPr="00EC6B6B" w:rsidDel="00482B04" w:rsidRDefault="00D16744">
            <w:pPr>
              <w:jc w:val="center"/>
              <w:rPr>
                <w:color w:val="auto"/>
                <w:lang w:val="en-US"/>
              </w:rPr>
            </w:pPr>
          </w:p>
        </w:tc>
        <w:tc>
          <w:tcPr>
            <w:tcW w:w="931" w:type="dxa"/>
            <w:tcBorders>
              <w:top w:val="single" w:sz="4" w:space="0" w:color="auto"/>
              <w:left w:val="single" w:sz="4" w:space="0" w:color="auto"/>
              <w:bottom w:val="single" w:sz="4" w:space="0" w:color="auto"/>
              <w:right w:val="single" w:sz="4" w:space="0" w:color="auto"/>
            </w:tcBorders>
          </w:tcPr>
          <w:p w14:paraId="10A97AF9" w14:textId="77777777" w:rsidR="00D16744" w:rsidRPr="00EC6B6B" w:rsidDel="00482B04" w:rsidRDefault="00D16744">
            <w:pPr>
              <w:jc w:val="center"/>
              <w:rPr>
                <w:color w:val="auto"/>
                <w:lang w:val="en-US"/>
              </w:rPr>
            </w:pPr>
          </w:p>
        </w:tc>
      </w:tr>
    </w:tbl>
    <w:p w14:paraId="179561D2" w14:textId="77777777" w:rsidR="00014C1A" w:rsidRDefault="00003B0B">
      <w:pPr>
        <w:ind w:firstLine="426"/>
        <w:jc w:val="both"/>
      </w:pPr>
      <w:r>
        <w:t> </w:t>
      </w:r>
    </w:p>
    <w:p w14:paraId="58D66D8F" w14:textId="77777777" w:rsidR="00014C1A" w:rsidRDefault="00003B0B">
      <w:pPr>
        <w:ind w:firstLine="426"/>
        <w:jc w:val="both"/>
      </w:pPr>
      <w:r>
        <w:t>В целом Фонд имеет высокий уровень капитала, что позволит в будущем привлекать больше долгового финансирования (займы из бюджета, от международных финансовых институтов, облигационные займы) и за счет этого увеличивать размер активов.</w:t>
      </w:r>
    </w:p>
    <w:p w14:paraId="07067709" w14:textId="77777777" w:rsidR="00982FE8" w:rsidRDefault="00982FE8">
      <w:pPr>
        <w:ind w:firstLine="426"/>
        <w:jc w:val="both"/>
        <w:rPr>
          <w:b/>
          <w:bCs/>
        </w:rPr>
      </w:pPr>
      <w:bookmarkStart w:id="12" w:name="SUB1040300"/>
      <w:bookmarkEnd w:id="12"/>
    </w:p>
    <w:p w14:paraId="3535F099" w14:textId="2F0251BC" w:rsidR="00014C1A" w:rsidRDefault="00003B0B">
      <w:pPr>
        <w:ind w:firstLine="426"/>
        <w:jc w:val="both"/>
      </w:pPr>
      <w:r>
        <w:rPr>
          <w:b/>
          <w:bCs/>
        </w:rPr>
        <w:t xml:space="preserve">1.4.3. </w:t>
      </w:r>
      <w:r>
        <w:rPr>
          <w:b/>
          <w:bCs/>
          <w:u w:val="single"/>
        </w:rPr>
        <w:t>Анализ исполнения показателей КПД Стратегии развития Фонда</w:t>
      </w:r>
    </w:p>
    <w:p w14:paraId="715BFBC4" w14:textId="5C0F2F53" w:rsidR="00014C1A" w:rsidRDefault="00E43BA2">
      <w:pPr>
        <w:ind w:firstLine="426"/>
        <w:jc w:val="both"/>
      </w:pPr>
      <w:r>
        <w:t>С 2014-2016 годы</w:t>
      </w:r>
      <w:r w:rsidR="00003B0B">
        <w:t xml:space="preserve"> Стратегия определяла 23 ключевых показателя деятельности для выполнения задачи по построению эффективного института развития, интегрированного в АО «НУХ «Байтерек» и реализации двух стратегических направлений: 1) Обеспечение финансовой поддержки субъектов ММСП и 2) Развитие компетенций субъектов ММСП.</w:t>
      </w:r>
    </w:p>
    <w:tbl>
      <w:tblPr>
        <w:tblW w:w="5000" w:type="pct"/>
        <w:tblCellMar>
          <w:left w:w="0" w:type="dxa"/>
          <w:right w:w="0" w:type="dxa"/>
        </w:tblCellMar>
        <w:tblLook w:val="04A0" w:firstRow="1" w:lastRow="0" w:firstColumn="1" w:lastColumn="0" w:noHBand="0" w:noVBand="1"/>
      </w:tblPr>
      <w:tblGrid>
        <w:gridCol w:w="363"/>
        <w:gridCol w:w="4368"/>
        <w:gridCol w:w="1140"/>
        <w:gridCol w:w="1140"/>
        <w:gridCol w:w="64"/>
        <w:gridCol w:w="1090"/>
        <w:gridCol w:w="1190"/>
      </w:tblGrid>
      <w:tr w:rsidR="00014C1A" w14:paraId="38B29BD3" w14:textId="77777777">
        <w:tc>
          <w:tcPr>
            <w:tcW w:w="435" w:type="dxa"/>
            <w:vAlign w:val="center"/>
            <w:hideMark/>
          </w:tcPr>
          <w:p w14:paraId="155042C7" w14:textId="77777777" w:rsidR="00014C1A" w:rsidRDefault="00014C1A"/>
        </w:tc>
        <w:tc>
          <w:tcPr>
            <w:tcW w:w="5235" w:type="dxa"/>
            <w:vAlign w:val="center"/>
            <w:hideMark/>
          </w:tcPr>
          <w:p w14:paraId="431E93DA" w14:textId="77777777" w:rsidR="00014C1A" w:rsidRDefault="00014C1A">
            <w:pPr>
              <w:rPr>
                <w:rFonts w:eastAsia="Times New Roman"/>
                <w:color w:val="auto"/>
                <w:sz w:val="20"/>
                <w:szCs w:val="20"/>
              </w:rPr>
            </w:pPr>
          </w:p>
        </w:tc>
        <w:tc>
          <w:tcPr>
            <w:tcW w:w="1365" w:type="dxa"/>
            <w:vAlign w:val="center"/>
            <w:hideMark/>
          </w:tcPr>
          <w:p w14:paraId="071AD795" w14:textId="77777777" w:rsidR="00014C1A" w:rsidRDefault="00014C1A">
            <w:pPr>
              <w:rPr>
                <w:rFonts w:eastAsia="Times New Roman"/>
                <w:color w:val="auto"/>
                <w:sz w:val="20"/>
                <w:szCs w:val="20"/>
              </w:rPr>
            </w:pPr>
          </w:p>
        </w:tc>
        <w:tc>
          <w:tcPr>
            <w:tcW w:w="1365" w:type="dxa"/>
            <w:vAlign w:val="center"/>
            <w:hideMark/>
          </w:tcPr>
          <w:p w14:paraId="2BCD2A40" w14:textId="77777777" w:rsidR="00014C1A" w:rsidRDefault="00014C1A">
            <w:pPr>
              <w:rPr>
                <w:rFonts w:eastAsia="Times New Roman"/>
                <w:color w:val="auto"/>
                <w:sz w:val="20"/>
                <w:szCs w:val="20"/>
              </w:rPr>
            </w:pPr>
          </w:p>
        </w:tc>
        <w:tc>
          <w:tcPr>
            <w:tcW w:w="75" w:type="dxa"/>
            <w:vAlign w:val="center"/>
            <w:hideMark/>
          </w:tcPr>
          <w:p w14:paraId="78DA98C9" w14:textId="77777777" w:rsidR="00014C1A" w:rsidRDefault="00014C1A">
            <w:pPr>
              <w:rPr>
                <w:rFonts w:eastAsia="Times New Roman"/>
                <w:color w:val="auto"/>
                <w:sz w:val="20"/>
                <w:szCs w:val="20"/>
              </w:rPr>
            </w:pPr>
          </w:p>
        </w:tc>
        <w:tc>
          <w:tcPr>
            <w:tcW w:w="1305" w:type="dxa"/>
            <w:vAlign w:val="center"/>
            <w:hideMark/>
          </w:tcPr>
          <w:p w14:paraId="7524586B" w14:textId="77777777" w:rsidR="00014C1A" w:rsidRDefault="00014C1A">
            <w:pPr>
              <w:rPr>
                <w:rFonts w:eastAsia="Times New Roman"/>
                <w:color w:val="auto"/>
                <w:sz w:val="20"/>
                <w:szCs w:val="20"/>
              </w:rPr>
            </w:pPr>
          </w:p>
        </w:tc>
        <w:tc>
          <w:tcPr>
            <w:tcW w:w="1425" w:type="dxa"/>
            <w:vAlign w:val="center"/>
            <w:hideMark/>
          </w:tcPr>
          <w:p w14:paraId="0E60F563" w14:textId="77777777" w:rsidR="00014C1A" w:rsidRDefault="00014C1A">
            <w:pPr>
              <w:rPr>
                <w:rFonts w:eastAsia="Times New Roman"/>
                <w:color w:val="auto"/>
                <w:sz w:val="20"/>
                <w:szCs w:val="20"/>
              </w:rPr>
            </w:pPr>
          </w:p>
        </w:tc>
      </w:tr>
    </w:tbl>
    <w:p w14:paraId="1957A33C" w14:textId="66A38C7F" w:rsidR="00014C1A" w:rsidRDefault="00003B0B">
      <w:pPr>
        <w:ind w:firstLine="426"/>
        <w:jc w:val="both"/>
      </w:pPr>
      <w:r>
        <w:t xml:space="preserve"> Согласно отчету по исполнению Плана мероприятий на 2014 - 2016 годы по реализации Стратегии по итогам 2015 - 2016 годов большинство стратегических КПД были выполнены. Из 23 КПД не исполнено </w:t>
      </w:r>
      <w:r w:rsidR="001F04F1">
        <w:t xml:space="preserve">было </w:t>
      </w:r>
      <w:r>
        <w:t>5 мероприятий:</w:t>
      </w:r>
    </w:p>
    <w:p w14:paraId="521DE6D9" w14:textId="77777777" w:rsidR="00014C1A" w:rsidRDefault="00003B0B">
      <w:pPr>
        <w:ind w:firstLine="426"/>
        <w:jc w:val="both"/>
      </w:pPr>
      <w:r>
        <w:lastRenderedPageBreak/>
        <w:t>• по показателю Рентабельность деятельности неисполнение связано с не достижением запланированного уровня чистой прибыли;</w:t>
      </w:r>
    </w:p>
    <w:p w14:paraId="602DF98F" w14:textId="77777777" w:rsidR="00014C1A" w:rsidRDefault="00003B0B">
      <w:pPr>
        <w:ind w:firstLine="426"/>
        <w:jc w:val="both"/>
      </w:pPr>
      <w:r>
        <w:t xml:space="preserve">• по показателю </w:t>
      </w:r>
      <w:r>
        <w:rPr>
          <w:lang w:val="fr-FR"/>
        </w:rPr>
        <w:t xml:space="preserve">NI </w:t>
      </w:r>
      <w:r>
        <w:rPr>
          <w:lang w:val="en-US"/>
        </w:rPr>
        <w:t>margin</w:t>
      </w:r>
      <w:r w:rsidRPr="007C286C">
        <w:t xml:space="preserve"> </w:t>
      </w:r>
      <w:r>
        <w:t>неисполнение плана связано, с тем, что не был исполнен план по доходам от основной деятельности, т.е. за счет реализаций программ Фонда;</w:t>
      </w:r>
    </w:p>
    <w:p w14:paraId="5ECBBDE9" w14:textId="77777777" w:rsidR="00014C1A" w:rsidRDefault="00003B0B">
      <w:pPr>
        <w:ind w:firstLine="426"/>
        <w:jc w:val="both"/>
      </w:pPr>
      <w:r>
        <w:t>• в соответствие с плановыми показателями по состоянию на 1 января 2017 года показатель «Доля местного содержания в закупках товаров» не исполняется (план 49%, факт 20%). Неисполнение данного показателя связано с тем, что закупаемые товары Фондом не производятся на территории Республики Казахстан (большая часть закупок - это программное обеспечение и лицензии на программное обеспечение);</w:t>
      </w:r>
    </w:p>
    <w:p w14:paraId="4941811D" w14:textId="77777777" w:rsidR="00014C1A" w:rsidRDefault="00003B0B">
      <w:pPr>
        <w:ind w:firstLine="426"/>
        <w:jc w:val="both"/>
      </w:pPr>
      <w:r>
        <w:t>• издание внутрикорпоративного бюллетеня «Даму» и его команды» не выпущен, в связи с отсутствием средств в бюджете;</w:t>
      </w:r>
    </w:p>
    <w:p w14:paraId="71031DD5" w14:textId="2F1DD0C8" w:rsidR="00014C1A" w:rsidRDefault="00003B0B">
      <w:pPr>
        <w:ind w:firstLine="426"/>
        <w:jc w:val="both"/>
      </w:pPr>
      <w:r>
        <w:t xml:space="preserve">• переговоры по вопросу привлечения займа от ВБ в сумме 200 </w:t>
      </w:r>
      <w:r w:rsidR="00B646B3">
        <w:t>млн</w:t>
      </w:r>
      <w:r>
        <w:t xml:space="preserve"> долларов США под государственную гарантию приостановлен по инициативе ВБ. ВБ не устраивают условия хеджирования валютных рисков, предлагаемых НБ РК, в т.ч. ограниченные сроки погашения и ограничение маржи банков. Эти условия не соответствуют целям займа ВБ в поддержку инвестиционного финансирования, а также кредитной политике по предотвращению фиксированных или блокированных процентных ставок).</w:t>
      </w:r>
    </w:p>
    <w:p w14:paraId="343341B0" w14:textId="2037BEBA" w:rsidR="005F0D8D" w:rsidRPr="00EC6B6B" w:rsidRDefault="00E43BA2" w:rsidP="005F0D8D">
      <w:pPr>
        <w:ind w:firstLine="426"/>
        <w:jc w:val="both"/>
        <w:rPr>
          <w:color w:val="auto"/>
        </w:rPr>
      </w:pPr>
      <w:r>
        <w:rPr>
          <w:color w:val="auto"/>
        </w:rPr>
        <w:t>Д</w:t>
      </w:r>
      <w:r w:rsidR="005F0D8D" w:rsidRPr="00EC6B6B">
        <w:rPr>
          <w:color w:val="auto"/>
        </w:rPr>
        <w:t>ействующей Стратегией развития утверждены 1</w:t>
      </w:r>
      <w:r w:rsidR="00AB4654">
        <w:rPr>
          <w:color w:val="auto"/>
        </w:rPr>
        <w:t>3</w:t>
      </w:r>
      <w:r w:rsidR="005F0D8D" w:rsidRPr="00EC6B6B">
        <w:rPr>
          <w:color w:val="auto"/>
        </w:rPr>
        <w:t xml:space="preserve"> ключевых показателей деятельности для выполнения задачи по построению эффективного института развития.</w:t>
      </w:r>
    </w:p>
    <w:p w14:paraId="2D6BC16C" w14:textId="77777777" w:rsidR="005F0D8D" w:rsidRPr="00EC6B6B" w:rsidRDefault="005F0D8D" w:rsidP="005F0D8D">
      <w:pPr>
        <w:ind w:firstLine="426"/>
        <w:jc w:val="both"/>
        <w:rPr>
          <w:color w:val="auto"/>
        </w:rPr>
      </w:pPr>
      <w:r w:rsidRPr="00EC6B6B">
        <w:rPr>
          <w:color w:val="auto"/>
        </w:rPr>
        <w:tab/>
        <w:t>В рамках каждого стратегического направления Фонд проводит регулярный мониторинг достижения поставленных задач с использованием КПД.</w:t>
      </w:r>
    </w:p>
    <w:p w14:paraId="19E826D3" w14:textId="2B51C0D3" w:rsidR="005F0D8D" w:rsidRPr="008F511D" w:rsidRDefault="005F0D8D" w:rsidP="005F0D8D">
      <w:pPr>
        <w:ind w:firstLine="426"/>
        <w:jc w:val="both"/>
        <w:rPr>
          <w:color w:val="auto"/>
        </w:rPr>
      </w:pPr>
      <w:r w:rsidRPr="00582030">
        <w:rPr>
          <w:color w:val="auto"/>
        </w:rPr>
        <w:t>КПД «</w:t>
      </w:r>
      <w:r w:rsidRPr="00B42FB8">
        <w:rPr>
          <w:color w:val="auto"/>
        </w:rPr>
        <w:t>Доля портфеля МФО в кредитном портфеле Фонда» по</w:t>
      </w:r>
      <w:r w:rsidRPr="00582030">
        <w:rPr>
          <w:color w:val="auto"/>
        </w:rPr>
        <w:t xml:space="preserve"> результатам деятельности за 202</w:t>
      </w:r>
      <w:r w:rsidR="00582030" w:rsidRPr="00DF598C">
        <w:rPr>
          <w:color w:val="auto"/>
        </w:rPr>
        <w:t>1</w:t>
      </w:r>
      <w:r w:rsidRPr="00582030">
        <w:rPr>
          <w:color w:val="auto"/>
        </w:rPr>
        <w:t xml:space="preserve"> год составляет</w:t>
      </w:r>
      <w:r w:rsidR="001F04F1">
        <w:rPr>
          <w:color w:val="auto"/>
        </w:rPr>
        <w:t xml:space="preserve"> 27,</w:t>
      </w:r>
      <w:r w:rsidR="001F04F1" w:rsidRPr="00C81757">
        <w:rPr>
          <w:color w:val="auto"/>
        </w:rPr>
        <w:t>07%</w:t>
      </w:r>
      <w:r w:rsidRPr="00C81757">
        <w:rPr>
          <w:color w:val="auto"/>
        </w:rPr>
        <w:t xml:space="preserve">, это на </w:t>
      </w:r>
      <w:r w:rsidR="009F06EB">
        <w:rPr>
          <w:color w:val="auto"/>
        </w:rPr>
        <w:t xml:space="preserve">4,77 </w:t>
      </w:r>
      <w:r w:rsidR="00595F51">
        <w:rPr>
          <w:color w:val="auto"/>
        </w:rPr>
        <w:t>процентных пункта</w:t>
      </w:r>
      <w:r w:rsidRPr="00C81757">
        <w:rPr>
          <w:color w:val="auto"/>
        </w:rPr>
        <w:t xml:space="preserve"> больше в сравнении с 20</w:t>
      </w:r>
      <w:r w:rsidR="00582030" w:rsidRPr="00DF598C">
        <w:rPr>
          <w:color w:val="auto"/>
        </w:rPr>
        <w:t>20</w:t>
      </w:r>
      <w:r w:rsidRPr="00C81757">
        <w:rPr>
          <w:color w:val="auto"/>
        </w:rPr>
        <w:t xml:space="preserve"> годом (</w:t>
      </w:r>
      <w:r w:rsidR="00582030" w:rsidRPr="00DF598C">
        <w:rPr>
          <w:color w:val="auto"/>
        </w:rPr>
        <w:t>22,3%</w:t>
      </w:r>
      <w:r w:rsidRPr="00C81757">
        <w:rPr>
          <w:color w:val="auto"/>
        </w:rPr>
        <w:t xml:space="preserve">). </w:t>
      </w:r>
      <w:r w:rsidRPr="001B084D">
        <w:rPr>
          <w:color w:val="auto"/>
        </w:rPr>
        <w:t xml:space="preserve">Увеличение </w:t>
      </w:r>
      <w:r w:rsidR="001B084D" w:rsidRPr="001B084D">
        <w:rPr>
          <w:color w:val="auto"/>
        </w:rPr>
        <w:t>связано с Посланием Главы государства Токаева К.К. народу Казахстана «</w:t>
      </w:r>
      <w:r w:rsidR="001B084D" w:rsidRPr="001B084D">
        <w:rPr>
          <w:rStyle w:val="af7"/>
          <w:b w:val="0"/>
          <w:color w:val="212529"/>
          <w:shd w:val="clear" w:color="auto" w:fill="FFFFFF"/>
        </w:rPr>
        <w:t>ЕДИНСТВО НАРОДА И СИСТЕМНЫЕ РЕФОРМЫ – ПРОЧНАЯ ОСНОВА ПРОЦВЕТАНИЯ СТРАНЫ</w:t>
      </w:r>
      <w:r w:rsidR="001B084D" w:rsidRPr="001B084D">
        <w:rPr>
          <w:color w:val="auto"/>
        </w:rPr>
        <w:t xml:space="preserve">», в рамках которого </w:t>
      </w:r>
      <w:r w:rsidR="005C4079">
        <w:rPr>
          <w:color w:val="auto"/>
        </w:rPr>
        <w:t>установлен</w:t>
      </w:r>
      <w:r w:rsidR="001B084D" w:rsidRPr="001B084D">
        <w:rPr>
          <w:color w:val="auto"/>
        </w:rPr>
        <w:t xml:space="preserve"> акцент на </w:t>
      </w:r>
      <w:r w:rsidR="001B084D" w:rsidRPr="001B084D">
        <w:rPr>
          <w:color w:val="212529"/>
          <w:shd w:val="clear" w:color="auto" w:fill="FFFFFF"/>
        </w:rPr>
        <w:t>задействовании потенциала микрофинансовых организаций</w:t>
      </w:r>
      <w:r w:rsidRPr="001B084D">
        <w:rPr>
          <w:color w:val="auto"/>
        </w:rPr>
        <w:t>.</w:t>
      </w:r>
    </w:p>
    <w:p w14:paraId="7A263747" w14:textId="71087025" w:rsidR="005F0D8D" w:rsidRPr="00C81757" w:rsidRDefault="005F0D8D" w:rsidP="005F0D8D">
      <w:pPr>
        <w:ind w:firstLine="426"/>
        <w:jc w:val="both"/>
        <w:rPr>
          <w:color w:val="auto"/>
        </w:rPr>
      </w:pPr>
      <w:r w:rsidRPr="004E0BAB">
        <w:rPr>
          <w:color w:val="auto"/>
        </w:rPr>
        <w:t xml:space="preserve">КПД «Доля микро и малых предпринимателей от общего числа поддержанных предпринимателей» </w:t>
      </w:r>
      <w:r w:rsidR="00002528" w:rsidRPr="004E0BAB">
        <w:rPr>
          <w:color w:val="auto"/>
        </w:rPr>
        <w:t xml:space="preserve">за 2021 год </w:t>
      </w:r>
      <w:r w:rsidRPr="004E0BAB">
        <w:rPr>
          <w:color w:val="auto"/>
        </w:rPr>
        <w:t>составляет</w:t>
      </w:r>
      <w:r w:rsidR="00C81757" w:rsidRPr="004E0BAB">
        <w:rPr>
          <w:color w:val="auto"/>
        </w:rPr>
        <w:t xml:space="preserve"> 88,16%</w:t>
      </w:r>
      <w:r w:rsidRPr="004E0BAB">
        <w:rPr>
          <w:color w:val="auto"/>
        </w:rPr>
        <w:t xml:space="preserve">, это на </w:t>
      </w:r>
      <w:r w:rsidR="00C81757" w:rsidRPr="004E0BAB">
        <w:rPr>
          <w:color w:val="auto"/>
        </w:rPr>
        <w:t>0,</w:t>
      </w:r>
      <w:r w:rsidR="003815E5" w:rsidRPr="004E0BAB">
        <w:rPr>
          <w:color w:val="auto"/>
        </w:rPr>
        <w:t xml:space="preserve">54 </w:t>
      </w:r>
      <w:r w:rsidR="00595F51" w:rsidRPr="004E0BAB">
        <w:rPr>
          <w:color w:val="auto"/>
        </w:rPr>
        <w:t>процентных пункта</w:t>
      </w:r>
      <w:r w:rsidR="00595F51" w:rsidRPr="004E0BAB" w:rsidDel="003815E5">
        <w:rPr>
          <w:color w:val="auto"/>
        </w:rPr>
        <w:t xml:space="preserve"> </w:t>
      </w:r>
      <w:r w:rsidR="00C81757" w:rsidRPr="004E0BAB">
        <w:rPr>
          <w:color w:val="auto"/>
        </w:rPr>
        <w:t>меньше</w:t>
      </w:r>
      <w:r w:rsidR="00216239">
        <w:rPr>
          <w:color w:val="auto"/>
        </w:rPr>
        <w:t xml:space="preserve">, </w:t>
      </w:r>
      <w:r w:rsidRPr="004E0BAB">
        <w:rPr>
          <w:color w:val="auto"/>
        </w:rPr>
        <w:t>в сравнении с 20</w:t>
      </w:r>
      <w:r w:rsidR="00582030" w:rsidRPr="004E0BAB">
        <w:rPr>
          <w:color w:val="auto"/>
        </w:rPr>
        <w:t>20</w:t>
      </w:r>
      <w:r w:rsidRPr="004E0BAB">
        <w:rPr>
          <w:color w:val="auto"/>
        </w:rPr>
        <w:t xml:space="preserve"> годом (</w:t>
      </w:r>
      <w:r w:rsidR="00582030" w:rsidRPr="004E0BAB">
        <w:rPr>
          <w:color w:val="auto"/>
        </w:rPr>
        <w:t>88,7%</w:t>
      </w:r>
      <w:r w:rsidRPr="004E0BAB">
        <w:rPr>
          <w:color w:val="auto"/>
        </w:rPr>
        <w:t>).</w:t>
      </w:r>
      <w:r w:rsidR="00002528" w:rsidRPr="004E0BAB">
        <w:rPr>
          <w:color w:val="auto"/>
        </w:rPr>
        <w:t xml:space="preserve"> Вместе с тем, показатель превысил плановый, в связи с п</w:t>
      </w:r>
      <w:r w:rsidR="00002528" w:rsidRPr="004E0BAB">
        <w:rPr>
          <w:color w:val="auto"/>
          <w:lang w:val="kk-KZ"/>
        </w:rPr>
        <w:t>еревыполнением показателей по всем инструментам поддержки</w:t>
      </w:r>
      <w:r w:rsidR="004E0BAB" w:rsidRPr="004E0BAB">
        <w:rPr>
          <w:color w:val="auto"/>
          <w:lang w:val="kk-KZ"/>
        </w:rPr>
        <w:t>.</w:t>
      </w:r>
    </w:p>
    <w:p w14:paraId="27239BB3" w14:textId="31BF09F3" w:rsidR="005F0D8D" w:rsidRPr="00EC6B6B" w:rsidRDefault="005F0D8D" w:rsidP="005F0D8D">
      <w:pPr>
        <w:ind w:firstLine="426"/>
        <w:jc w:val="both"/>
        <w:rPr>
          <w:color w:val="auto"/>
        </w:rPr>
      </w:pPr>
      <w:r w:rsidRPr="00C81757">
        <w:rPr>
          <w:color w:val="auto"/>
        </w:rPr>
        <w:t>КПД «Доля субъектов ММСП, которым оказана финансовая</w:t>
      </w:r>
      <w:r w:rsidRPr="00EC6B6B">
        <w:rPr>
          <w:color w:val="auto"/>
        </w:rPr>
        <w:t xml:space="preserve"> поддержка к общему числу действующих субъектов ММСП на рынке» составляет</w:t>
      </w:r>
      <w:r w:rsidR="004E0BAB">
        <w:rPr>
          <w:color w:val="auto"/>
        </w:rPr>
        <w:t xml:space="preserve"> за 2021 год</w:t>
      </w:r>
      <w:r w:rsidRPr="00EC6B6B">
        <w:rPr>
          <w:color w:val="auto"/>
        </w:rPr>
        <w:t xml:space="preserve"> </w:t>
      </w:r>
      <w:r w:rsidR="00C81757">
        <w:rPr>
          <w:color w:val="auto"/>
        </w:rPr>
        <w:t>10,1</w:t>
      </w:r>
      <w:r w:rsidR="00FF3A6B">
        <w:rPr>
          <w:color w:val="auto"/>
        </w:rPr>
        <w:t>9</w:t>
      </w:r>
      <w:r w:rsidRPr="00EC6B6B">
        <w:rPr>
          <w:color w:val="auto"/>
        </w:rPr>
        <w:t>%. Данный показатель в 20</w:t>
      </w:r>
      <w:r w:rsidR="00C81757">
        <w:rPr>
          <w:color w:val="auto"/>
        </w:rPr>
        <w:t>20</w:t>
      </w:r>
      <w:r w:rsidRPr="00EC6B6B">
        <w:rPr>
          <w:color w:val="auto"/>
        </w:rPr>
        <w:t xml:space="preserve"> году составил </w:t>
      </w:r>
      <w:r w:rsidR="00C81757" w:rsidRPr="00EC6B6B">
        <w:rPr>
          <w:color w:val="auto"/>
        </w:rPr>
        <w:t>8,</w:t>
      </w:r>
      <w:r w:rsidR="00FF3A6B">
        <w:rPr>
          <w:color w:val="auto"/>
        </w:rPr>
        <w:t>5%</w:t>
      </w:r>
      <w:r w:rsidR="00C81757">
        <w:rPr>
          <w:color w:val="auto"/>
        </w:rPr>
        <w:t xml:space="preserve">. </w:t>
      </w:r>
      <w:r w:rsidRPr="00EC6B6B">
        <w:rPr>
          <w:color w:val="auto"/>
        </w:rPr>
        <w:t xml:space="preserve">Это на </w:t>
      </w:r>
      <w:r w:rsidR="00FF3A6B">
        <w:rPr>
          <w:color w:val="auto"/>
        </w:rPr>
        <w:t>1,69 процентных пункта</w:t>
      </w:r>
      <w:r w:rsidRPr="00EC6B6B">
        <w:rPr>
          <w:color w:val="auto"/>
        </w:rPr>
        <w:t xml:space="preserve"> больше в сравнении с 20</w:t>
      </w:r>
      <w:r w:rsidR="00C81757">
        <w:rPr>
          <w:color w:val="auto"/>
        </w:rPr>
        <w:t>20</w:t>
      </w:r>
      <w:r w:rsidRPr="00EC6B6B">
        <w:rPr>
          <w:color w:val="auto"/>
        </w:rPr>
        <w:t xml:space="preserve"> годом</w:t>
      </w:r>
      <w:r w:rsidR="00EE0C9D">
        <w:rPr>
          <w:color w:val="auto"/>
        </w:rPr>
        <w:t xml:space="preserve">. </w:t>
      </w:r>
      <w:r w:rsidR="00EE0C9D">
        <w:t xml:space="preserve">Исполнение превышает план, в связи с увеличением количества субъектов ММСП, которым Фондом </w:t>
      </w:r>
      <w:r w:rsidR="00083512">
        <w:t xml:space="preserve">оказана поддержка </w:t>
      </w:r>
      <w:r w:rsidR="00EE0C9D">
        <w:t>по программам</w:t>
      </w:r>
      <w:r w:rsidR="00083512">
        <w:t xml:space="preserve"> обусловленного размещения средств, гарантированию и субсидированию</w:t>
      </w:r>
      <w:r w:rsidR="00EE0C9D">
        <w:t>.</w:t>
      </w:r>
      <w:r w:rsidR="00716819">
        <w:t xml:space="preserve"> Так как в рамках антикризисных мер Фондом были предложены дополнительные улучшающие условия для СМСП.</w:t>
      </w:r>
    </w:p>
    <w:p w14:paraId="10499720" w14:textId="67EC9CC2" w:rsidR="007D5E66" w:rsidRDefault="005F0D8D" w:rsidP="005F0D8D">
      <w:pPr>
        <w:ind w:firstLine="426"/>
        <w:jc w:val="both"/>
        <w:rPr>
          <w:color w:val="auto"/>
        </w:rPr>
      </w:pPr>
      <w:r w:rsidRPr="00EC6B6B">
        <w:rPr>
          <w:color w:val="auto"/>
        </w:rPr>
        <w:t xml:space="preserve">КПД «Количество новых проектов и проектов по модернизации и расширению действующих производств с учетом увеличения производительности труда и расширения рынков сбыта» </w:t>
      </w:r>
      <w:r w:rsidR="007D5E66">
        <w:rPr>
          <w:color w:val="auto"/>
        </w:rPr>
        <w:t xml:space="preserve">за 2021 год составил </w:t>
      </w:r>
      <w:r w:rsidR="00716819">
        <w:rPr>
          <w:color w:val="auto"/>
        </w:rPr>
        <w:t>145 894</w:t>
      </w:r>
      <w:r w:rsidR="007D5E66" w:rsidRPr="007D5E66">
        <w:rPr>
          <w:color w:val="auto"/>
        </w:rPr>
        <w:t xml:space="preserve"> ед, это на</w:t>
      </w:r>
      <w:r w:rsidR="007D5E66">
        <w:rPr>
          <w:color w:val="auto"/>
        </w:rPr>
        <w:t xml:space="preserve"> 25%</w:t>
      </w:r>
      <w:r w:rsidR="007D5E66" w:rsidRPr="007D5E66">
        <w:rPr>
          <w:color w:val="auto"/>
        </w:rPr>
        <w:t xml:space="preserve"> больше, чем в 2020 году (</w:t>
      </w:r>
      <w:r w:rsidR="007D5E66" w:rsidRPr="00EC6B6B">
        <w:rPr>
          <w:color w:val="auto"/>
        </w:rPr>
        <w:t>115 764 ед</w:t>
      </w:r>
      <w:r w:rsidR="007D5E66" w:rsidRPr="007D5E66">
        <w:rPr>
          <w:color w:val="auto"/>
        </w:rPr>
        <w:t>).</w:t>
      </w:r>
      <w:r w:rsidR="00716819">
        <w:rPr>
          <w:color w:val="auto"/>
        </w:rPr>
        <w:t xml:space="preserve"> Д</w:t>
      </w:r>
      <w:r w:rsidR="004E0BAB">
        <w:rPr>
          <w:color w:val="auto"/>
        </w:rPr>
        <w:t>анный показатель увеличился в связи с увеличением</w:t>
      </w:r>
      <w:r w:rsidR="00716819">
        <w:rPr>
          <w:color w:val="auto"/>
        </w:rPr>
        <w:t xml:space="preserve"> СМСП которым оказаны меры государственной поддержки.</w:t>
      </w:r>
      <w:r w:rsidR="004E0BAB">
        <w:rPr>
          <w:color w:val="auto"/>
        </w:rPr>
        <w:t xml:space="preserve"> </w:t>
      </w:r>
    </w:p>
    <w:p w14:paraId="045852C6" w14:textId="303E0002" w:rsidR="005F0D8D" w:rsidRPr="00EC6B6B" w:rsidRDefault="005F0D8D" w:rsidP="005F0D8D">
      <w:pPr>
        <w:ind w:firstLine="426"/>
        <w:jc w:val="both"/>
        <w:rPr>
          <w:color w:val="auto"/>
        </w:rPr>
      </w:pPr>
      <w:r w:rsidRPr="0050078B">
        <w:rPr>
          <w:color w:val="auto"/>
        </w:rPr>
        <w:t xml:space="preserve">Увеличение по этим </w:t>
      </w:r>
      <w:r w:rsidR="00E53FE6" w:rsidRPr="0050078B">
        <w:rPr>
          <w:color w:val="auto"/>
        </w:rPr>
        <w:t>двум</w:t>
      </w:r>
      <w:r w:rsidRPr="0050078B">
        <w:rPr>
          <w:color w:val="auto"/>
        </w:rPr>
        <w:t xml:space="preserve"> показателям произошло за счет внедрения портфельного субсидирования и гарантирования в рамках первого направления ГП «ДКБ</w:t>
      </w:r>
      <w:r w:rsidR="001C1E49" w:rsidRPr="0050078B">
        <w:rPr>
          <w:color w:val="auto"/>
        </w:rPr>
        <w:t>-</w:t>
      </w:r>
      <w:r w:rsidRPr="0050078B">
        <w:rPr>
          <w:color w:val="auto"/>
        </w:rPr>
        <w:t>2025», за счет расширения условий для участия в субсидировании, а также за счет количества проектов в наиболее пострадавших секторах экономики. Увеличение по обусловленному размещению связано с перевыполнением объема размещения средств в БВУ/ЛК/МФО.</w:t>
      </w:r>
    </w:p>
    <w:p w14:paraId="4B6C2F8D" w14:textId="2C9A294B" w:rsidR="005F0D8D" w:rsidRPr="00AB4654" w:rsidRDefault="005F0D8D" w:rsidP="00AB4654">
      <w:pPr>
        <w:ind w:firstLine="426"/>
        <w:jc w:val="both"/>
        <w:rPr>
          <w:color w:val="auto"/>
        </w:rPr>
      </w:pPr>
      <w:r w:rsidRPr="00EC6B6B">
        <w:rPr>
          <w:color w:val="auto"/>
        </w:rPr>
        <w:t xml:space="preserve">КПД «Объём субсидируемых кредитов частных застройщиков» </w:t>
      </w:r>
      <w:r w:rsidR="00716819">
        <w:rPr>
          <w:color w:val="auto"/>
        </w:rPr>
        <w:t xml:space="preserve">за 2021 год </w:t>
      </w:r>
      <w:r w:rsidRPr="00EC6B6B">
        <w:rPr>
          <w:color w:val="auto"/>
        </w:rPr>
        <w:t>состав</w:t>
      </w:r>
      <w:r w:rsidR="00716819">
        <w:rPr>
          <w:color w:val="auto"/>
        </w:rPr>
        <w:t>ил</w:t>
      </w:r>
      <w:r w:rsidRPr="00EC6B6B">
        <w:rPr>
          <w:color w:val="auto"/>
        </w:rPr>
        <w:t xml:space="preserve"> </w:t>
      </w:r>
      <w:r w:rsidR="000E38C4">
        <w:rPr>
          <w:color w:val="auto"/>
        </w:rPr>
        <w:t>4,4</w:t>
      </w:r>
      <w:r w:rsidRPr="00EC6B6B">
        <w:rPr>
          <w:color w:val="auto"/>
        </w:rPr>
        <w:t xml:space="preserve"> млрд тенге</w:t>
      </w:r>
      <w:r w:rsidR="00716819">
        <w:rPr>
          <w:color w:val="auto"/>
        </w:rPr>
        <w:t xml:space="preserve">. </w:t>
      </w:r>
      <w:r w:rsidR="00716819" w:rsidRPr="00716819">
        <w:rPr>
          <w:color w:val="auto"/>
        </w:rPr>
        <w:t>После 1 июля 2021 года в качестве финансового агентства выступает АО «Казахстанская жилищная компания»</w:t>
      </w:r>
      <w:r w:rsidRPr="00EC6B6B">
        <w:rPr>
          <w:color w:val="auto"/>
        </w:rPr>
        <w:t xml:space="preserve">. </w:t>
      </w:r>
      <w:r w:rsidR="00AB4654" w:rsidRPr="00AB4654">
        <w:rPr>
          <w:color w:val="auto"/>
        </w:rPr>
        <w:t>В связи с чем, показатель не учитывается.</w:t>
      </w:r>
    </w:p>
    <w:p w14:paraId="106901DA" w14:textId="2E12ED0D" w:rsidR="005F0D8D" w:rsidRPr="00EC6B6B" w:rsidRDefault="005F0D8D" w:rsidP="005F0D8D">
      <w:pPr>
        <w:ind w:firstLine="426"/>
        <w:jc w:val="both"/>
        <w:rPr>
          <w:color w:val="auto"/>
        </w:rPr>
      </w:pPr>
      <w:r w:rsidRPr="00EC6B6B">
        <w:rPr>
          <w:color w:val="auto"/>
        </w:rPr>
        <w:lastRenderedPageBreak/>
        <w:t xml:space="preserve">КПД </w:t>
      </w:r>
      <w:r w:rsidRPr="00AB4654">
        <w:rPr>
          <w:color w:val="auto"/>
        </w:rPr>
        <w:t>«Доля частного сектора в кредитном портфеле Фонда</w:t>
      </w:r>
      <w:r w:rsidRPr="00EC6B6B">
        <w:rPr>
          <w:color w:val="auto"/>
        </w:rPr>
        <w:t>» за 202</w:t>
      </w:r>
      <w:r w:rsidR="008F511D">
        <w:rPr>
          <w:color w:val="auto"/>
        </w:rPr>
        <w:t>1</w:t>
      </w:r>
      <w:r w:rsidRPr="00EC6B6B">
        <w:rPr>
          <w:color w:val="auto"/>
        </w:rPr>
        <w:t xml:space="preserve"> год составил 100%. В 20</w:t>
      </w:r>
      <w:r w:rsidR="008F511D">
        <w:rPr>
          <w:color w:val="auto"/>
        </w:rPr>
        <w:t>20</w:t>
      </w:r>
      <w:r w:rsidRPr="00EC6B6B">
        <w:rPr>
          <w:color w:val="auto"/>
        </w:rPr>
        <w:t xml:space="preserve"> году исполнение данного показателя также составило 100%.</w:t>
      </w:r>
    </w:p>
    <w:p w14:paraId="2778C291" w14:textId="6A8B896A" w:rsidR="005F0D8D" w:rsidRPr="00EC6B6B" w:rsidRDefault="005F0D8D" w:rsidP="005F0D8D">
      <w:pPr>
        <w:ind w:firstLine="426"/>
        <w:jc w:val="both"/>
        <w:rPr>
          <w:color w:val="auto"/>
        </w:rPr>
      </w:pPr>
      <w:r w:rsidRPr="00D51F97">
        <w:rPr>
          <w:color w:val="auto"/>
        </w:rPr>
        <w:t>КПД «</w:t>
      </w:r>
      <w:r w:rsidR="00CF2C10" w:rsidRPr="00D51F97">
        <w:rPr>
          <w:color w:val="auto"/>
        </w:rPr>
        <w:t>Объем выручки предприятий, получивших поддержку Фонда (за год)</w:t>
      </w:r>
      <w:r w:rsidRPr="00D51F97">
        <w:rPr>
          <w:color w:val="auto"/>
        </w:rPr>
        <w:t>» в 202</w:t>
      </w:r>
      <w:r w:rsidR="00CF2C10" w:rsidRPr="00D51F97">
        <w:rPr>
          <w:color w:val="auto"/>
        </w:rPr>
        <w:t>1</w:t>
      </w:r>
      <w:r w:rsidRPr="00D51F97">
        <w:rPr>
          <w:color w:val="auto"/>
        </w:rPr>
        <w:t xml:space="preserve"> году составил </w:t>
      </w:r>
      <w:r w:rsidR="00CF2C10" w:rsidRPr="00D51F97">
        <w:rPr>
          <w:color w:val="auto"/>
        </w:rPr>
        <w:t>6 016</w:t>
      </w:r>
      <w:r w:rsidRPr="00D51F97">
        <w:rPr>
          <w:color w:val="auto"/>
        </w:rPr>
        <w:t xml:space="preserve"> млрд тенге. </w:t>
      </w:r>
      <w:r w:rsidR="00C73313" w:rsidRPr="00D51F97">
        <w:rPr>
          <w:color w:val="auto"/>
        </w:rPr>
        <w:t>Данный показатель сменил прежний «Объем продукции, произведенной субъектами предпринимательства, получившими поддержку». В этой связи ранее 2021 года анализ не проводился.</w:t>
      </w:r>
    </w:p>
    <w:p w14:paraId="78CFF0DC" w14:textId="29778B15" w:rsidR="005F0D8D" w:rsidRPr="00EC6B6B" w:rsidRDefault="005F0D8D" w:rsidP="00C73313">
      <w:pPr>
        <w:ind w:firstLine="426"/>
        <w:jc w:val="both"/>
        <w:rPr>
          <w:color w:val="auto"/>
        </w:rPr>
      </w:pPr>
      <w:r w:rsidRPr="00220DF5">
        <w:rPr>
          <w:color w:val="auto"/>
        </w:rPr>
        <w:t xml:space="preserve">КПД «Прирост выплаченных налогов субъектами предпринимательства, получившими поддержку Фонда» </w:t>
      </w:r>
      <w:r w:rsidR="00370F6C" w:rsidRPr="00220DF5">
        <w:rPr>
          <w:color w:val="auto"/>
        </w:rPr>
        <w:t xml:space="preserve">в 2021 году, </w:t>
      </w:r>
      <w:r w:rsidRPr="00220DF5">
        <w:rPr>
          <w:color w:val="auto"/>
        </w:rPr>
        <w:t xml:space="preserve">составляет </w:t>
      </w:r>
      <w:r w:rsidR="008F511D" w:rsidRPr="00220DF5">
        <w:rPr>
          <w:color w:val="auto"/>
        </w:rPr>
        <w:t>145,6</w:t>
      </w:r>
      <w:r w:rsidRPr="00220DF5">
        <w:rPr>
          <w:color w:val="auto"/>
        </w:rPr>
        <w:t xml:space="preserve"> млрд тенге, это на </w:t>
      </w:r>
      <w:r w:rsidR="00C728C2" w:rsidRPr="00220DF5">
        <w:rPr>
          <w:color w:val="auto"/>
        </w:rPr>
        <w:t>105</w:t>
      </w:r>
      <w:r w:rsidRPr="00220DF5">
        <w:rPr>
          <w:color w:val="auto"/>
        </w:rPr>
        <w:t>% больше, чем в 20</w:t>
      </w:r>
      <w:r w:rsidR="00C728C2" w:rsidRPr="0054327F">
        <w:rPr>
          <w:color w:val="auto"/>
        </w:rPr>
        <w:t>20</w:t>
      </w:r>
      <w:r w:rsidRPr="0054327F">
        <w:rPr>
          <w:color w:val="auto"/>
        </w:rPr>
        <w:t xml:space="preserve"> году (</w:t>
      </w:r>
      <w:r w:rsidR="008F511D" w:rsidRPr="0054327F">
        <w:rPr>
          <w:color w:val="auto"/>
        </w:rPr>
        <w:t>71</w:t>
      </w:r>
      <w:r w:rsidRPr="003448B8">
        <w:rPr>
          <w:color w:val="auto"/>
        </w:rPr>
        <w:t xml:space="preserve"> млрд тенге).</w:t>
      </w:r>
      <w:r w:rsidR="00C73313" w:rsidRPr="003448B8">
        <w:rPr>
          <w:color w:val="auto"/>
        </w:rPr>
        <w:t xml:space="preserve"> </w:t>
      </w:r>
      <w:r w:rsidRPr="00C10FEF">
        <w:rPr>
          <w:color w:val="auto"/>
        </w:rPr>
        <w:t>Увеличение</w:t>
      </w:r>
      <w:r w:rsidRPr="00C73313">
        <w:rPr>
          <w:color w:val="auto"/>
        </w:rPr>
        <w:t xml:space="preserve"> </w:t>
      </w:r>
      <w:r w:rsidR="0050078B" w:rsidRPr="00C73313">
        <w:rPr>
          <w:color w:val="auto"/>
        </w:rPr>
        <w:t xml:space="preserve">данного </w:t>
      </w:r>
      <w:r w:rsidRPr="00C73313">
        <w:rPr>
          <w:color w:val="auto"/>
        </w:rPr>
        <w:t>показател</w:t>
      </w:r>
      <w:r w:rsidR="0050078B" w:rsidRPr="00C73313">
        <w:rPr>
          <w:color w:val="auto"/>
        </w:rPr>
        <w:t>я</w:t>
      </w:r>
      <w:r w:rsidRPr="00C73313">
        <w:rPr>
          <w:color w:val="auto"/>
        </w:rPr>
        <w:t xml:space="preserve"> КПД произошло за счет увеличения объема поддержки предпринимателей в </w:t>
      </w:r>
      <w:r w:rsidR="0050078B" w:rsidRPr="00C73313">
        <w:rPr>
          <w:color w:val="auto"/>
        </w:rPr>
        <w:t>пос</w:t>
      </w:r>
      <w:r w:rsidR="002A70DE" w:rsidRPr="00C73313">
        <w:rPr>
          <w:color w:val="auto"/>
        </w:rPr>
        <w:t>т</w:t>
      </w:r>
      <w:r w:rsidRPr="00C73313">
        <w:rPr>
          <w:color w:val="auto"/>
        </w:rPr>
        <w:t>кризисны</w:t>
      </w:r>
      <w:r w:rsidR="0050078B" w:rsidRPr="00C73313">
        <w:rPr>
          <w:color w:val="auto"/>
        </w:rPr>
        <w:t>й</w:t>
      </w:r>
      <w:r w:rsidRPr="00C73313">
        <w:rPr>
          <w:color w:val="auto"/>
        </w:rPr>
        <w:t xml:space="preserve"> </w:t>
      </w:r>
      <w:r w:rsidR="002A70DE" w:rsidRPr="00C73313">
        <w:rPr>
          <w:color w:val="auto"/>
        </w:rPr>
        <w:t>период</w:t>
      </w:r>
      <w:r w:rsidR="00C73313">
        <w:rPr>
          <w:color w:val="auto"/>
        </w:rPr>
        <w:t>,</w:t>
      </w:r>
      <w:r w:rsidR="002A70DE" w:rsidRPr="00C73313">
        <w:rPr>
          <w:color w:val="auto"/>
        </w:rPr>
        <w:t xml:space="preserve"> </w:t>
      </w:r>
      <w:r w:rsidR="00C73313">
        <w:rPr>
          <w:color w:val="auto"/>
        </w:rPr>
        <w:t>в рамках</w:t>
      </w:r>
      <w:r w:rsidRPr="00C73313">
        <w:rPr>
          <w:color w:val="auto"/>
        </w:rPr>
        <w:t xml:space="preserve"> поддержки </w:t>
      </w:r>
      <w:r w:rsidR="002A70DE" w:rsidRPr="00C73313">
        <w:rPr>
          <w:color w:val="auto"/>
        </w:rPr>
        <w:t xml:space="preserve">предпринимателей </w:t>
      </w:r>
      <w:r w:rsidRPr="00C73313">
        <w:rPr>
          <w:color w:val="auto"/>
        </w:rPr>
        <w:t>в наиболее пострадавших секторах экономики.</w:t>
      </w:r>
    </w:p>
    <w:p w14:paraId="5C58189D" w14:textId="61566791" w:rsidR="005F0D8D" w:rsidRPr="00E80C70" w:rsidRDefault="005F0D8D" w:rsidP="005F0D8D">
      <w:pPr>
        <w:ind w:firstLine="426"/>
        <w:jc w:val="both"/>
        <w:rPr>
          <w:color w:val="auto"/>
        </w:rPr>
      </w:pPr>
      <w:r w:rsidRPr="00E80C70">
        <w:rPr>
          <w:color w:val="auto"/>
        </w:rPr>
        <w:t>КПД «Доля негосударственных источников заимствования в общей структуре заимствования</w:t>
      </w:r>
      <w:r w:rsidRPr="0054327F">
        <w:rPr>
          <w:color w:val="auto"/>
        </w:rPr>
        <w:t xml:space="preserve"> за отчетный год» по результатам 202</w:t>
      </w:r>
      <w:r w:rsidR="00EE205F" w:rsidRPr="0054327F">
        <w:rPr>
          <w:color w:val="auto"/>
        </w:rPr>
        <w:t>1</w:t>
      </w:r>
      <w:r w:rsidRPr="003448B8">
        <w:rPr>
          <w:color w:val="auto"/>
        </w:rPr>
        <w:t xml:space="preserve"> года составило </w:t>
      </w:r>
      <w:r w:rsidR="00EE205F" w:rsidRPr="003448B8">
        <w:rPr>
          <w:color w:val="auto"/>
        </w:rPr>
        <w:t>46,9</w:t>
      </w:r>
      <w:r w:rsidRPr="00C10FEF">
        <w:rPr>
          <w:color w:val="auto"/>
        </w:rPr>
        <w:t xml:space="preserve">%. </w:t>
      </w:r>
      <w:r w:rsidR="00370F6C" w:rsidRPr="00B24204">
        <w:rPr>
          <w:color w:val="auto"/>
        </w:rPr>
        <w:t>Данный показатель в 2020 году составил 3,9</w:t>
      </w:r>
      <w:r w:rsidR="00370F6C" w:rsidRPr="00E80C70">
        <w:rPr>
          <w:color w:val="auto"/>
        </w:rPr>
        <w:t xml:space="preserve">%, что на 43 процентных пункта меньше. Увеличение показателя в 2021 году произошло за счет </w:t>
      </w:r>
      <w:r w:rsidR="00E80C70" w:rsidRPr="00BC3427">
        <w:rPr>
          <w:color w:val="auto"/>
        </w:rPr>
        <w:t>выпуска «социальных» облигаций и снижения доли государственных источников заимствования.</w:t>
      </w:r>
      <w:r w:rsidR="00FC4273" w:rsidRPr="00BC3427">
        <w:rPr>
          <w:color w:val="auto"/>
        </w:rPr>
        <w:t xml:space="preserve"> </w:t>
      </w:r>
    </w:p>
    <w:p w14:paraId="3AB52011" w14:textId="484318FC" w:rsidR="005F0D8D" w:rsidRPr="00EC6B6B" w:rsidRDefault="005F0D8D" w:rsidP="005F0D8D">
      <w:pPr>
        <w:ind w:firstLine="426"/>
        <w:jc w:val="both"/>
        <w:rPr>
          <w:color w:val="auto"/>
        </w:rPr>
      </w:pPr>
      <w:r w:rsidRPr="00E80C70">
        <w:rPr>
          <w:color w:val="auto"/>
        </w:rPr>
        <w:t>КПД «Соблюдение лимита «Долг/Капитал»» в 202</w:t>
      </w:r>
      <w:r w:rsidR="006D6754" w:rsidRPr="00E80C70">
        <w:rPr>
          <w:color w:val="auto"/>
        </w:rPr>
        <w:t>1</w:t>
      </w:r>
      <w:r w:rsidRPr="00EC6B6B">
        <w:rPr>
          <w:color w:val="auto"/>
        </w:rPr>
        <w:t xml:space="preserve"> году </w:t>
      </w:r>
      <w:r w:rsidR="00B24204">
        <w:t>не превышает, установленного планового коэффициента 2,10</w:t>
      </w:r>
      <w:r w:rsidRPr="00EC6B6B">
        <w:rPr>
          <w:color w:val="auto"/>
        </w:rPr>
        <w:t>.</w:t>
      </w:r>
    </w:p>
    <w:p w14:paraId="519C0EA1" w14:textId="6AD3AE48" w:rsidR="005F0D8D" w:rsidRPr="00EC6B6B" w:rsidRDefault="005F0D8D" w:rsidP="005F0D8D">
      <w:pPr>
        <w:ind w:firstLine="426"/>
        <w:jc w:val="both"/>
        <w:rPr>
          <w:color w:val="auto"/>
        </w:rPr>
      </w:pPr>
      <w:r w:rsidRPr="00EC6B6B">
        <w:rPr>
          <w:color w:val="auto"/>
        </w:rPr>
        <w:t>КПД «ROA, рентабельность активов (не ниже минимального положительного значения)» в 202</w:t>
      </w:r>
      <w:r w:rsidR="006D6754">
        <w:rPr>
          <w:color w:val="auto"/>
        </w:rPr>
        <w:t>1</w:t>
      </w:r>
      <w:r w:rsidRPr="00EC6B6B">
        <w:rPr>
          <w:color w:val="auto"/>
        </w:rPr>
        <w:t xml:space="preserve"> году </w:t>
      </w:r>
      <w:r w:rsidR="009875AB">
        <w:t>перевыполнен на 312% в связи с получением чистого дохода в 2021г. больше запланированного. На результат показателя по чистой прибыли повлияли в основном доходы от реализации инструмента гарантирования кредитов МСБ и не понесённые расходы по созданию резерва и списанию безнадежных требований, связи с улучшением финансового состояния БВУ и субъектов МСБ.</w:t>
      </w:r>
    </w:p>
    <w:p w14:paraId="6AEA2A40" w14:textId="273E84C7" w:rsidR="005F0D8D" w:rsidRPr="00EC6B6B" w:rsidRDefault="005F0D8D" w:rsidP="005F0D8D">
      <w:pPr>
        <w:ind w:firstLine="426"/>
        <w:jc w:val="both"/>
        <w:rPr>
          <w:color w:val="auto"/>
        </w:rPr>
      </w:pPr>
      <w:r w:rsidRPr="00EC6B6B">
        <w:rPr>
          <w:color w:val="auto"/>
        </w:rPr>
        <w:t xml:space="preserve">КПД «Доля кредитного портфеля от общих активов» </w:t>
      </w:r>
      <w:r w:rsidR="00370F6C">
        <w:rPr>
          <w:color w:val="auto"/>
        </w:rPr>
        <w:t>в 2021 году</w:t>
      </w:r>
      <w:r w:rsidR="001C7C54">
        <w:rPr>
          <w:color w:val="auto"/>
        </w:rPr>
        <w:t xml:space="preserve"> исполнен на 99% </w:t>
      </w:r>
      <w:r w:rsidR="001C7C54">
        <w:t xml:space="preserve">в связи с не достижением планового уровня кредитного портфеля на отчетную дату, по причине досрочного погашения займов, выданных БВУ и МФО.  </w:t>
      </w:r>
      <w:r w:rsidR="001C7C54" w:rsidRPr="001C7C54">
        <w:t>Кредитный портфель Фонда по сравнению с началом года вырос на 7%</w:t>
      </w:r>
      <w:r w:rsidRPr="00EC6B6B">
        <w:rPr>
          <w:color w:val="auto"/>
        </w:rPr>
        <w:t>.</w:t>
      </w:r>
    </w:p>
    <w:p w14:paraId="3463CB71" w14:textId="0002EB6B" w:rsidR="005F0D8D" w:rsidRPr="00EC6B6B" w:rsidRDefault="005F0D8D" w:rsidP="005F0D8D">
      <w:pPr>
        <w:ind w:firstLine="426"/>
        <w:jc w:val="both"/>
        <w:rPr>
          <w:color w:val="auto"/>
        </w:rPr>
      </w:pPr>
      <w:r w:rsidRPr="00EC6B6B">
        <w:rPr>
          <w:color w:val="auto"/>
        </w:rPr>
        <w:t>КПД «Автоматизация бизнес-процессов Фонда» в 202</w:t>
      </w:r>
      <w:r w:rsidR="001E3C79">
        <w:rPr>
          <w:color w:val="auto"/>
        </w:rPr>
        <w:t>1</w:t>
      </w:r>
      <w:r w:rsidRPr="00EC6B6B">
        <w:rPr>
          <w:color w:val="auto"/>
        </w:rPr>
        <w:t xml:space="preserve"> году составил </w:t>
      </w:r>
      <w:r w:rsidR="001E3C79">
        <w:rPr>
          <w:color w:val="auto"/>
        </w:rPr>
        <w:t>95,2</w:t>
      </w:r>
      <w:r w:rsidRPr="00EC6B6B">
        <w:rPr>
          <w:color w:val="auto"/>
        </w:rPr>
        <w:t>%.</w:t>
      </w:r>
      <w:r w:rsidR="00EF7811">
        <w:rPr>
          <w:color w:val="auto"/>
        </w:rPr>
        <w:t xml:space="preserve"> По итогам 2021 года </w:t>
      </w:r>
      <w:r w:rsidR="00EF7811" w:rsidRPr="00EF7811">
        <w:rPr>
          <w:color w:val="auto"/>
        </w:rPr>
        <w:t>автоматизировано 80 из 84 основных бизнес-процессов.</w:t>
      </w:r>
      <w:r w:rsidR="00EF7811" w:rsidRPr="00EF7811">
        <w:rPr>
          <w:color w:val="auto"/>
        </w:rPr>
        <w:br/>
        <w:t>Автоматизацию оставшихся 4-х процессов планируется завершить</w:t>
      </w:r>
      <w:r w:rsidR="00A26004">
        <w:rPr>
          <w:color w:val="auto"/>
        </w:rPr>
        <w:t xml:space="preserve"> до конца</w:t>
      </w:r>
      <w:r w:rsidR="00EF7811" w:rsidRPr="00EF7811">
        <w:rPr>
          <w:color w:val="auto"/>
        </w:rPr>
        <w:t xml:space="preserve"> 202</w:t>
      </w:r>
      <w:r w:rsidR="00A26004">
        <w:rPr>
          <w:color w:val="auto"/>
        </w:rPr>
        <w:t>3</w:t>
      </w:r>
      <w:r w:rsidR="00EF7811" w:rsidRPr="00EF7811">
        <w:rPr>
          <w:color w:val="auto"/>
        </w:rPr>
        <w:t xml:space="preserve"> год</w:t>
      </w:r>
      <w:r w:rsidR="00A26004">
        <w:rPr>
          <w:color w:val="auto"/>
        </w:rPr>
        <w:t>а</w:t>
      </w:r>
      <w:r w:rsidR="00EF7811" w:rsidRPr="00EF7811">
        <w:rPr>
          <w:color w:val="auto"/>
        </w:rPr>
        <w:t>.</w:t>
      </w:r>
    </w:p>
    <w:p w14:paraId="2D4B1361" w14:textId="4354981B" w:rsidR="005F0D8D" w:rsidRPr="00EC6B6B" w:rsidRDefault="005F0D8D" w:rsidP="005F0D8D">
      <w:pPr>
        <w:ind w:firstLine="426"/>
        <w:jc w:val="both"/>
        <w:rPr>
          <w:color w:val="auto"/>
        </w:rPr>
      </w:pPr>
      <w:r w:rsidRPr="00EC6B6B">
        <w:rPr>
          <w:color w:val="auto"/>
        </w:rPr>
        <w:t>КПД «Оценка доверия и удовлетворенности субъектов ММСП деятельностью Фонда». За 202</w:t>
      </w:r>
      <w:r w:rsidR="001E3C79">
        <w:rPr>
          <w:color w:val="auto"/>
        </w:rPr>
        <w:t>1</w:t>
      </w:r>
      <w:r w:rsidRPr="00EC6B6B">
        <w:rPr>
          <w:color w:val="auto"/>
        </w:rPr>
        <w:t xml:space="preserve"> год оценка составила </w:t>
      </w:r>
      <w:r w:rsidR="001E3C79">
        <w:rPr>
          <w:color w:val="auto"/>
        </w:rPr>
        <w:t>93,9</w:t>
      </w:r>
      <w:r w:rsidRPr="00EC6B6B">
        <w:rPr>
          <w:color w:val="auto"/>
        </w:rPr>
        <w:t>%. В 20</w:t>
      </w:r>
      <w:r w:rsidR="001E3C79">
        <w:rPr>
          <w:color w:val="auto"/>
        </w:rPr>
        <w:t>20</w:t>
      </w:r>
      <w:r w:rsidRPr="00EC6B6B">
        <w:rPr>
          <w:color w:val="auto"/>
        </w:rPr>
        <w:t xml:space="preserve"> году уровень данного показателя составил </w:t>
      </w:r>
      <w:r w:rsidR="009E16AE">
        <w:rPr>
          <w:color w:val="auto"/>
        </w:rPr>
        <w:t>94,5</w:t>
      </w:r>
      <w:r w:rsidRPr="00EC6B6B">
        <w:rPr>
          <w:color w:val="auto"/>
        </w:rPr>
        <w:t>%.</w:t>
      </w:r>
      <w:r w:rsidR="00EF7811">
        <w:rPr>
          <w:color w:val="auto"/>
        </w:rPr>
        <w:t xml:space="preserve"> </w:t>
      </w:r>
      <w:r w:rsidR="00EF7811" w:rsidRPr="00EF7811">
        <w:rPr>
          <w:color w:val="auto"/>
        </w:rPr>
        <w:t>Показатель за 2021 года перевыполнен, так как по результатам исследования программы поддержки бизнеса Фонда «Даму» пользуются большим успехом среди ММСП и получают высокий уровень доверия и удовлетворенности у предпринимателей, оцениваются как эффективные программы государственной поддержки для начинающих и действующих предпринимателей.</w:t>
      </w:r>
    </w:p>
    <w:p w14:paraId="43F32EBE" w14:textId="77777777" w:rsidR="0094182F" w:rsidRPr="00EC6B6B" w:rsidRDefault="0094182F" w:rsidP="005F0D8D">
      <w:pPr>
        <w:ind w:firstLine="426"/>
        <w:jc w:val="both"/>
        <w:rPr>
          <w:color w:val="auto"/>
        </w:rPr>
      </w:pPr>
    </w:p>
    <w:p w14:paraId="1F9C6E97" w14:textId="77777777" w:rsidR="00014C1A" w:rsidRDefault="00003B0B">
      <w:pPr>
        <w:ind w:firstLine="426"/>
        <w:jc w:val="both"/>
      </w:pPr>
      <w:bookmarkStart w:id="13" w:name="SUB10500"/>
      <w:bookmarkEnd w:id="13"/>
      <w:r>
        <w:rPr>
          <w:b/>
          <w:bCs/>
        </w:rPr>
        <w:t xml:space="preserve">1.5. </w:t>
      </w:r>
      <w:r>
        <w:rPr>
          <w:b/>
          <w:bCs/>
          <w:lang w:val="en-US"/>
        </w:rPr>
        <w:t>SWOT</w:t>
      </w:r>
      <w:r>
        <w:rPr>
          <w:b/>
          <w:bCs/>
        </w:rPr>
        <w:t>-анализ</w:t>
      </w:r>
    </w:p>
    <w:p w14:paraId="4F4B5439" w14:textId="77777777" w:rsidR="00014C1A" w:rsidRDefault="00003B0B">
      <w:pPr>
        <w:ind w:firstLine="426"/>
        <w:jc w:val="both"/>
      </w:pPr>
      <w:r>
        <w:t>В результате анализа внешней и внутренней среды выявлены сильные и слабые стороны Фонда, а также существующие возможности и угрозы, которые представлены ниже.</w:t>
      </w:r>
    </w:p>
    <w:p w14:paraId="17EADF7C" w14:textId="77777777" w:rsidR="00014C1A" w:rsidRDefault="00003B0B">
      <w:pPr>
        <w:ind w:firstLine="426"/>
        <w:jc w:val="both"/>
      </w:pPr>
      <w:r>
        <w:t> </w:t>
      </w:r>
    </w:p>
    <w:tbl>
      <w:tblPr>
        <w:tblW w:w="5000" w:type="pct"/>
        <w:tblCellMar>
          <w:left w:w="0" w:type="dxa"/>
          <w:right w:w="0" w:type="dxa"/>
        </w:tblCellMar>
        <w:tblLook w:val="04A0" w:firstRow="1" w:lastRow="0" w:firstColumn="1" w:lastColumn="0" w:noHBand="0" w:noVBand="1"/>
      </w:tblPr>
      <w:tblGrid>
        <w:gridCol w:w="4667"/>
        <w:gridCol w:w="4668"/>
      </w:tblGrid>
      <w:tr w:rsidR="00014C1A" w14:paraId="7FC33DCC" w14:textId="77777777">
        <w:trPr>
          <w:trHeight w:val="20"/>
        </w:trPr>
        <w:tc>
          <w:tcPr>
            <w:tcW w:w="250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14:paraId="288C442E" w14:textId="77777777" w:rsidR="00014C1A" w:rsidRDefault="00003B0B">
            <w:pPr>
              <w:jc w:val="center"/>
            </w:pPr>
            <w:r>
              <w:rPr>
                <w:b/>
                <w:bCs/>
                <w:lang w:val="fr-FR"/>
              </w:rPr>
              <w:t xml:space="preserve">S </w:t>
            </w:r>
            <w:r>
              <w:rPr>
                <w:b/>
                <w:bCs/>
              </w:rPr>
              <w:t>- Сильные стороны</w:t>
            </w:r>
          </w:p>
        </w:tc>
        <w:tc>
          <w:tcPr>
            <w:tcW w:w="2500"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28207207" w14:textId="77777777" w:rsidR="00014C1A" w:rsidRDefault="00003B0B">
            <w:pPr>
              <w:jc w:val="center"/>
            </w:pPr>
            <w:r>
              <w:rPr>
                <w:b/>
                <w:bCs/>
                <w:lang w:val="en-US"/>
              </w:rPr>
              <w:t xml:space="preserve">W </w:t>
            </w:r>
            <w:r>
              <w:t xml:space="preserve">- </w:t>
            </w:r>
            <w:r>
              <w:rPr>
                <w:b/>
                <w:bCs/>
              </w:rPr>
              <w:t>Слабые стороны</w:t>
            </w:r>
          </w:p>
        </w:tc>
      </w:tr>
      <w:tr w:rsidR="00014C1A" w14:paraId="4960B8C2" w14:textId="77777777">
        <w:trPr>
          <w:trHeight w:val="20"/>
        </w:trPr>
        <w:tc>
          <w:tcPr>
            <w:tcW w:w="250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0026B15A" w14:textId="77777777" w:rsidR="00014C1A" w:rsidRDefault="00003B0B">
            <w:r>
              <w:t xml:space="preserve">• Наличие сильного акционера (АО «НУХ «Байтерек»), взаимовыгодное сотрудничество с ДО Холдинга </w:t>
            </w:r>
          </w:p>
          <w:p w14:paraId="676E6F15" w14:textId="77777777" w:rsidR="00014C1A" w:rsidRDefault="00003B0B">
            <w:r>
              <w:t xml:space="preserve">• Рост активов, процентных доходов и прибыльности Фонда </w:t>
            </w:r>
          </w:p>
          <w:p w14:paraId="12A86AF9" w14:textId="77777777" w:rsidR="00014C1A" w:rsidRDefault="00003B0B">
            <w:r>
              <w:t xml:space="preserve">• Наличие кредитного рейтинга </w:t>
            </w:r>
            <w:r>
              <w:rPr>
                <w:lang w:val="fr-FR"/>
              </w:rPr>
              <w:t xml:space="preserve">S&amp;P </w:t>
            </w:r>
            <w:r>
              <w:t xml:space="preserve">на уровне суверенного </w:t>
            </w:r>
          </w:p>
          <w:p w14:paraId="621C9B5C" w14:textId="77777777" w:rsidR="00014C1A" w:rsidRDefault="00003B0B">
            <w:r>
              <w:lastRenderedPageBreak/>
              <w:t xml:space="preserve">• Длительный опыт по поддержке ММСП </w:t>
            </w:r>
          </w:p>
          <w:p w14:paraId="7E810E81" w14:textId="77777777" w:rsidR="00014C1A" w:rsidRDefault="00003B0B">
            <w:r>
              <w:t xml:space="preserve">• Широкий спектр мер поддержки ММСП </w:t>
            </w:r>
          </w:p>
          <w:p w14:paraId="38167542" w14:textId="55932943" w:rsidR="00014C1A" w:rsidRDefault="00003B0B">
            <w:r>
              <w:t xml:space="preserve">• Развитая региональная сеть филиалов, позволяющая обеспечивать высокий охват инструментами поддержки предпринимателей </w:t>
            </w:r>
          </w:p>
          <w:p w14:paraId="509D2B55" w14:textId="7AC7A1F7" w:rsidR="00014C1A" w:rsidRDefault="00003B0B">
            <w:r>
              <w:t>• Фонд является оператором государственн</w:t>
            </w:r>
            <w:r w:rsidR="00F658C3">
              <w:t>ых</w:t>
            </w:r>
            <w:r>
              <w:t xml:space="preserve"> программ по поддержке ММСП </w:t>
            </w:r>
          </w:p>
          <w:p w14:paraId="38944B39" w14:textId="579D6788" w:rsidR="00014C1A" w:rsidRDefault="00003B0B">
            <w:r>
              <w:t xml:space="preserve">• Отлаженные и эффективные механизмы поддержки и прозрачность в их реализации </w:t>
            </w:r>
          </w:p>
          <w:p w14:paraId="2C16A067" w14:textId="77777777" w:rsidR="00014C1A" w:rsidRDefault="00003B0B">
            <w:r>
              <w:t xml:space="preserve">• Направленность на корпоративную социальную ответственность </w:t>
            </w:r>
          </w:p>
          <w:p w14:paraId="7B1448F6" w14:textId="77777777" w:rsidR="00014C1A" w:rsidRDefault="00003B0B">
            <w:r>
              <w:t xml:space="preserve">• Команда профессионалов с опытом работы в финансовых институтах </w:t>
            </w:r>
          </w:p>
          <w:p w14:paraId="543FF263" w14:textId="77777777" w:rsidR="00014C1A" w:rsidRDefault="00003B0B">
            <w:r>
              <w:t>• Многолетнее партнерство с зарубежными организациями, осуществляющими поддержку ММСП</w:t>
            </w:r>
          </w:p>
        </w:tc>
        <w:tc>
          <w:tcPr>
            <w:tcW w:w="2500" w:type="pct"/>
            <w:tcBorders>
              <w:top w:val="nil"/>
              <w:left w:val="nil"/>
              <w:bottom w:val="single" w:sz="8" w:space="0" w:color="auto"/>
              <w:right w:val="single" w:sz="8" w:space="0" w:color="auto"/>
            </w:tcBorders>
            <w:tcMar>
              <w:top w:w="0" w:type="dxa"/>
              <w:left w:w="40" w:type="dxa"/>
              <w:bottom w:w="0" w:type="dxa"/>
              <w:right w:w="40" w:type="dxa"/>
            </w:tcMar>
            <w:hideMark/>
          </w:tcPr>
          <w:p w14:paraId="3442A4E5" w14:textId="77777777" w:rsidR="00014C1A" w:rsidRDefault="00003B0B">
            <w:r>
              <w:lastRenderedPageBreak/>
              <w:t xml:space="preserve">• Недостаточная ликвидность Фонда </w:t>
            </w:r>
          </w:p>
          <w:p w14:paraId="7BBCB25D" w14:textId="77777777" w:rsidR="00014C1A" w:rsidRDefault="00003B0B">
            <w:r>
              <w:t xml:space="preserve">• Ограниченные возможности по увеличению штата Фонда </w:t>
            </w:r>
          </w:p>
          <w:p w14:paraId="11139D70" w14:textId="77777777" w:rsidR="00014C1A" w:rsidRDefault="00003B0B">
            <w:r>
              <w:t xml:space="preserve">• Низкая доступность финансовых услуг Фонда для микро и малых предпринимателей </w:t>
            </w:r>
          </w:p>
          <w:p w14:paraId="388B8AB5" w14:textId="77777777" w:rsidR="00014C1A" w:rsidRDefault="00003B0B">
            <w:r>
              <w:lastRenderedPageBreak/>
              <w:t xml:space="preserve">• Необходимость совмещения задач по обеспечению рентабельности деятельности с реализацией социально направленных некоммерческих программ </w:t>
            </w:r>
          </w:p>
          <w:p w14:paraId="5C55245C" w14:textId="77777777" w:rsidR="00014C1A" w:rsidRDefault="00003B0B">
            <w:r>
              <w:t>• Риск ухудшения финансового состояния банков партнеров. В результате возможное увеличение кредитных рисков Фонда «Даму»</w:t>
            </w:r>
          </w:p>
        </w:tc>
      </w:tr>
      <w:tr w:rsidR="00014C1A" w14:paraId="466C6BF7" w14:textId="77777777">
        <w:trPr>
          <w:trHeight w:val="20"/>
        </w:trPr>
        <w:tc>
          <w:tcPr>
            <w:tcW w:w="250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1E9CD46D" w14:textId="77777777" w:rsidR="00014C1A" w:rsidRDefault="00003B0B">
            <w:pPr>
              <w:jc w:val="center"/>
            </w:pPr>
            <w:r>
              <w:rPr>
                <w:b/>
                <w:bCs/>
              </w:rPr>
              <w:lastRenderedPageBreak/>
              <w:t xml:space="preserve">О </w:t>
            </w:r>
            <w:r>
              <w:t xml:space="preserve">- </w:t>
            </w:r>
            <w:r>
              <w:rPr>
                <w:b/>
                <w:bCs/>
              </w:rPr>
              <w:t>Возможности</w:t>
            </w:r>
          </w:p>
        </w:tc>
        <w:tc>
          <w:tcPr>
            <w:tcW w:w="2500" w:type="pct"/>
            <w:tcBorders>
              <w:top w:val="nil"/>
              <w:left w:val="nil"/>
              <w:bottom w:val="single" w:sz="8" w:space="0" w:color="auto"/>
              <w:right w:val="single" w:sz="8" w:space="0" w:color="auto"/>
            </w:tcBorders>
            <w:tcMar>
              <w:top w:w="0" w:type="dxa"/>
              <w:left w:w="40" w:type="dxa"/>
              <w:bottom w:w="0" w:type="dxa"/>
              <w:right w:w="40" w:type="dxa"/>
            </w:tcMar>
            <w:hideMark/>
          </w:tcPr>
          <w:p w14:paraId="018E2D4C" w14:textId="77777777" w:rsidR="00014C1A" w:rsidRDefault="00003B0B">
            <w:pPr>
              <w:jc w:val="center"/>
            </w:pPr>
            <w:r>
              <w:rPr>
                <w:b/>
                <w:bCs/>
              </w:rPr>
              <w:t xml:space="preserve">Т </w:t>
            </w:r>
            <w:r>
              <w:t xml:space="preserve">- </w:t>
            </w:r>
            <w:r>
              <w:rPr>
                <w:b/>
                <w:bCs/>
              </w:rPr>
              <w:t>Угрозы</w:t>
            </w:r>
          </w:p>
        </w:tc>
      </w:tr>
      <w:tr w:rsidR="00014C1A" w14:paraId="01F4D7CF" w14:textId="77777777">
        <w:trPr>
          <w:trHeight w:val="20"/>
        </w:trPr>
        <w:tc>
          <w:tcPr>
            <w:tcW w:w="250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4876B4C7" w14:textId="73096C35" w:rsidR="00014C1A" w:rsidRDefault="00003B0B">
            <w:r>
              <w:t xml:space="preserve">• </w:t>
            </w:r>
            <w:r w:rsidR="00F658C3">
              <w:t xml:space="preserve">Улучшение </w:t>
            </w:r>
            <w:r w:rsidR="00F658C3" w:rsidRPr="00196533">
              <w:t>у</w:t>
            </w:r>
            <w:r w:rsidRPr="00196533">
              <w:t>слови</w:t>
            </w:r>
            <w:r w:rsidR="00F658C3" w:rsidRPr="00196533">
              <w:t>й для</w:t>
            </w:r>
            <w:r w:rsidRPr="00196533">
              <w:t xml:space="preserve"> создания и ведения бизнеса </w:t>
            </w:r>
            <w:r w:rsidR="00D97A09" w:rsidRPr="00196533">
              <w:t>ММСП</w:t>
            </w:r>
            <w:r w:rsidRPr="00196533">
              <w:t xml:space="preserve"> </w:t>
            </w:r>
          </w:p>
          <w:p w14:paraId="0D0217A1" w14:textId="77777777" w:rsidR="00014C1A" w:rsidRDefault="00003B0B">
            <w:r>
              <w:t xml:space="preserve">• Приватизация активов частными инвесторами </w:t>
            </w:r>
          </w:p>
          <w:p w14:paraId="24512D18" w14:textId="77777777" w:rsidR="00014C1A" w:rsidRDefault="00003B0B">
            <w:r>
              <w:t xml:space="preserve">• Привлечение частных инвесторов в деятельность Фонда «Даму» и планомерная диверсификация источников фондирования </w:t>
            </w:r>
          </w:p>
          <w:p w14:paraId="593BAEA2" w14:textId="2C332F7C" w:rsidR="00014C1A" w:rsidRDefault="00003B0B">
            <w:r>
              <w:t xml:space="preserve">• Необходимость организации доступных каналов для получения финансовых услуг, повышение </w:t>
            </w:r>
            <w:r w:rsidR="00D97A09">
              <w:t>предпринимательской грамотности</w:t>
            </w:r>
            <w:r>
              <w:t xml:space="preserve">, </w:t>
            </w:r>
            <w:r w:rsidR="00D97A09">
              <w:t xml:space="preserve">в том числе о </w:t>
            </w:r>
            <w:r>
              <w:t>навык</w:t>
            </w:r>
            <w:r w:rsidR="00D97A09">
              <w:t>ах</w:t>
            </w:r>
            <w:r>
              <w:t xml:space="preserve"> в сфере бизнеса и информированности о продуктах и услугах Фонда «Даму». </w:t>
            </w:r>
          </w:p>
          <w:p w14:paraId="61A7708A" w14:textId="2C021378" w:rsidR="00014C1A" w:rsidRDefault="00003B0B">
            <w:r>
              <w:t xml:space="preserve">• </w:t>
            </w:r>
            <w:r w:rsidR="00D97A09">
              <w:t>Разработка</w:t>
            </w:r>
            <w:r>
              <w:t xml:space="preserve"> новых эффективных инструмент</w:t>
            </w:r>
            <w:r w:rsidR="00D97A09">
              <w:t>ов</w:t>
            </w:r>
            <w:r>
              <w:t xml:space="preserve"> поддержки ММСП, отвечающих потребностям рынка </w:t>
            </w:r>
          </w:p>
          <w:p w14:paraId="6F95495A" w14:textId="77777777" w:rsidR="00014C1A" w:rsidRDefault="00003B0B">
            <w:r>
              <w:t>• Расширение партнерских отношений с аналогичными организациями стран мира</w:t>
            </w:r>
          </w:p>
        </w:tc>
        <w:tc>
          <w:tcPr>
            <w:tcW w:w="2500" w:type="pct"/>
            <w:tcBorders>
              <w:top w:val="nil"/>
              <w:left w:val="nil"/>
              <w:bottom w:val="single" w:sz="8" w:space="0" w:color="auto"/>
              <w:right w:val="single" w:sz="8" w:space="0" w:color="auto"/>
            </w:tcBorders>
            <w:tcMar>
              <w:top w:w="0" w:type="dxa"/>
              <w:left w:w="40" w:type="dxa"/>
              <w:bottom w:w="0" w:type="dxa"/>
              <w:right w:w="40" w:type="dxa"/>
            </w:tcMar>
            <w:hideMark/>
          </w:tcPr>
          <w:p w14:paraId="4D2BFF20" w14:textId="77777777" w:rsidR="00014C1A" w:rsidRDefault="00003B0B">
            <w:r>
              <w:t xml:space="preserve">• Ослабление национальной валюты </w:t>
            </w:r>
          </w:p>
          <w:p w14:paraId="2BE74B2A" w14:textId="77777777" w:rsidR="00014C1A" w:rsidRDefault="00003B0B">
            <w:r>
              <w:t xml:space="preserve">• Сокращение расходов на финансовые программы по поддержке предпринимательства из госбюджета </w:t>
            </w:r>
          </w:p>
          <w:p w14:paraId="633B4A3F" w14:textId="77777777" w:rsidR="00014C1A" w:rsidRDefault="00003B0B">
            <w:r>
              <w:t xml:space="preserve">• Сокращение гос.фондирования </w:t>
            </w:r>
          </w:p>
          <w:p w14:paraId="749C315E" w14:textId="77777777" w:rsidR="00014C1A" w:rsidRDefault="00003B0B">
            <w:r>
              <w:t xml:space="preserve">• Риск дефолта контрагентов (финансовых партнеров, ММСП) </w:t>
            </w:r>
          </w:p>
          <w:p w14:paraId="271EE53A" w14:textId="4AB0CA58" w:rsidR="00014C1A" w:rsidRDefault="00003B0B">
            <w:r>
              <w:t xml:space="preserve">• Низкий уровень доверия СЧП к компаниям с государственным участием, осуществляющим поддержку предпринимательства </w:t>
            </w:r>
          </w:p>
          <w:p w14:paraId="674CA222" w14:textId="77777777" w:rsidR="00014C1A" w:rsidRDefault="00003B0B">
            <w:r>
              <w:t>• Низкий уровень квалификации предпринимателей в сфере ведения бизнеса</w:t>
            </w:r>
          </w:p>
        </w:tc>
      </w:tr>
    </w:tbl>
    <w:p w14:paraId="2907D16E" w14:textId="77777777" w:rsidR="00014C1A" w:rsidRDefault="00003B0B">
      <w:pPr>
        <w:ind w:firstLine="426"/>
        <w:jc w:val="both"/>
      </w:pPr>
      <w:r>
        <w:t> </w:t>
      </w:r>
    </w:p>
    <w:p w14:paraId="2BFA2967" w14:textId="77777777" w:rsidR="00014C1A" w:rsidRDefault="00003B0B">
      <w:pPr>
        <w:ind w:firstLine="426"/>
        <w:jc w:val="both"/>
      </w:pPr>
      <w:bookmarkStart w:id="14" w:name="SUB10600"/>
      <w:bookmarkEnd w:id="14"/>
      <w:r>
        <w:rPr>
          <w:b/>
          <w:bCs/>
        </w:rPr>
        <w:t>1.6. Бенчмаркинг</w:t>
      </w:r>
    </w:p>
    <w:p w14:paraId="371326FD" w14:textId="77777777" w:rsidR="00014C1A" w:rsidRDefault="00003B0B">
      <w:pPr>
        <w:ind w:firstLine="426"/>
        <w:jc w:val="both"/>
      </w:pPr>
      <w:r>
        <w:t>При разработке Стратегии развития, а также программ поддержки ММСП Фонд «Даму» использует зарубежный опыт государственной поддержки предпринимательства с учетом специфики местного рынка и эффективности применения данного опыта в условиях Казахстана.</w:t>
      </w:r>
    </w:p>
    <w:p w14:paraId="74CB9831" w14:textId="3A624951" w:rsidR="00014C1A" w:rsidRDefault="00003B0B">
      <w:pPr>
        <w:ind w:firstLine="426"/>
        <w:jc w:val="both"/>
      </w:pPr>
      <w:r>
        <w:t>В 20</w:t>
      </w:r>
      <w:r w:rsidR="00B76E2C">
        <w:t>21</w:t>
      </w:r>
      <w:r>
        <w:t xml:space="preserve"> году Фонд в рамках работ по актуализации Стратегии развития провел анализ деятельности аналогичных институтов развития Южной Кореи - </w:t>
      </w:r>
      <w:r w:rsidR="00B76E2C" w:rsidRPr="00455E70">
        <w:t>Корейский фонд гарантирования кредитов (</w:t>
      </w:r>
      <w:r w:rsidR="00B76E2C" w:rsidRPr="00455E70">
        <w:rPr>
          <w:lang w:val="en-US"/>
        </w:rPr>
        <w:t>KODIT</w:t>
      </w:r>
      <w:r w:rsidR="00B76E2C" w:rsidRPr="00455E70">
        <w:t>) и Корейское агентство МСП и стартапов (</w:t>
      </w:r>
      <w:r w:rsidR="00B76E2C" w:rsidRPr="00455E70">
        <w:rPr>
          <w:lang w:val="en-US"/>
        </w:rPr>
        <w:t>KOSME</w:t>
      </w:r>
      <w:r w:rsidR="00B76E2C" w:rsidRPr="00455E70">
        <w:t>), США – Администрация малого бизнеса США (SBA), Польши - Банк народного хозяйства (Bank Gospodarstwa Krajowego), Польское агентство развития предпринимательства (предоставляет гранты, проводит обучения и акселерация (</w:t>
      </w:r>
      <w:r w:rsidR="00B76E2C" w:rsidRPr="00455E70">
        <w:rPr>
          <w:lang w:val="en-US"/>
        </w:rPr>
        <w:t>PARP</w:t>
      </w:r>
      <w:r w:rsidR="00B76E2C" w:rsidRPr="00455E70">
        <w:t xml:space="preserve">) </w:t>
      </w:r>
      <w:r w:rsidRPr="007C286C">
        <w:t xml:space="preserve"> </w:t>
      </w:r>
      <w:r>
        <w:t>по ряду параметров: миссия и видение, стратегические направления деятельности и применяемые инструменты поддержки бизнеса.</w:t>
      </w:r>
    </w:p>
    <w:p w14:paraId="419A794D" w14:textId="20151590" w:rsidR="00014C1A" w:rsidRDefault="00003B0B">
      <w:pPr>
        <w:ind w:firstLine="426"/>
        <w:jc w:val="both"/>
      </w:pPr>
      <w:r>
        <w:lastRenderedPageBreak/>
        <w:t xml:space="preserve">Согласно </w:t>
      </w:r>
      <w:r w:rsidR="00B76E2C" w:rsidRPr="00455E70">
        <w:t>последним статистическим данным, имеющимся в открытом доступе вышеперечисленные страны имеют высокую долю МСП в ВВП и в целом,</w:t>
      </w:r>
      <w:r>
        <w:t xml:space="preserve"> ММСП играет существенную роль в экономике </w:t>
      </w:r>
      <w:r w:rsidR="00B76E2C">
        <w:t>этих стран</w:t>
      </w:r>
      <w:r>
        <w:t>.</w:t>
      </w:r>
    </w:p>
    <w:p w14:paraId="2439D1DC" w14:textId="77777777" w:rsidR="00B76E2C" w:rsidRPr="00455E70" w:rsidRDefault="00B76E2C" w:rsidP="00B76E2C">
      <w:pPr>
        <w:tabs>
          <w:tab w:val="left" w:pos="567"/>
        </w:tabs>
        <w:ind w:firstLine="567"/>
        <w:contextualSpacing/>
        <w:jc w:val="both"/>
      </w:pPr>
      <w:r w:rsidRPr="00455E70">
        <w:t>Так в Соединенных Штатах Америки доля малого бизнеса в ВВП составляет 44%. Государственной организацией, осуществляющую помощь, консультирование, поддержку и защиту интересов предприятий малого бизнеса, для сохранения свободного конкурентоспособного предпринимательства, а также для поддержания и укрепления общей экономики страны в США, является «Администрация малого бизнеса США» (SBA). «Администрация малого бизнеса США» отличается от анализируемых аналогов широким спектром инструментов поддержки, в т.ч.:</w:t>
      </w:r>
    </w:p>
    <w:p w14:paraId="5934A9B4" w14:textId="77777777" w:rsidR="00B76E2C" w:rsidRPr="00455E70" w:rsidRDefault="00B76E2C" w:rsidP="00B76E2C">
      <w:pPr>
        <w:numPr>
          <w:ilvl w:val="0"/>
          <w:numId w:val="4"/>
        </w:numPr>
        <w:tabs>
          <w:tab w:val="left" w:pos="567"/>
        </w:tabs>
        <w:contextualSpacing/>
        <w:jc w:val="both"/>
      </w:pPr>
      <w:r w:rsidRPr="00455E70">
        <w:t>Финансовые инструменты: предоставление микрокредитов и гарантий по займам банков, венчурное финансирование;</w:t>
      </w:r>
    </w:p>
    <w:p w14:paraId="545F54DA" w14:textId="77777777" w:rsidR="00B76E2C" w:rsidRPr="00455E70" w:rsidRDefault="00B76E2C" w:rsidP="00B76E2C">
      <w:pPr>
        <w:numPr>
          <w:ilvl w:val="0"/>
          <w:numId w:val="4"/>
        </w:numPr>
        <w:tabs>
          <w:tab w:val="left" w:pos="567"/>
        </w:tabs>
        <w:contextualSpacing/>
        <w:jc w:val="both"/>
      </w:pPr>
      <w:r w:rsidRPr="00455E70">
        <w:t>Нефинансовая поддержка: бесплатные консультации и льготное обучение для начинающих предпринимателей и малых предприятий в более чем 1800 населенных пунктах; поддержка по заключению контрактов с государственными учреждениями на предоставление товаров и услуг;</w:t>
      </w:r>
    </w:p>
    <w:p w14:paraId="68470FB3" w14:textId="77777777" w:rsidR="00B76E2C" w:rsidRPr="00455E70" w:rsidRDefault="00B76E2C" w:rsidP="00B76E2C">
      <w:pPr>
        <w:numPr>
          <w:ilvl w:val="0"/>
          <w:numId w:val="4"/>
        </w:numPr>
        <w:tabs>
          <w:tab w:val="left" w:pos="567"/>
        </w:tabs>
        <w:contextualSpacing/>
        <w:jc w:val="both"/>
      </w:pPr>
      <w:r w:rsidRPr="003F2E5C">
        <w:t>Лоббирование</w:t>
      </w:r>
      <w:r w:rsidRPr="00455E70">
        <w:t xml:space="preserve"> в государственных органах: является независимым голосом малого бизнеса в федеральном правительстве, наблюдателем за соблюдением Закона о гибкости регулирования, а также источником статистических данных и исследований по малому бизнесу. Адвокатура SBA продвигает взгляды и проблемы малого бизнеса перед Конгрессом, Белым домом, федеральными агентствами, федеральными судами и политиками штатов.</w:t>
      </w:r>
    </w:p>
    <w:p w14:paraId="0932446F" w14:textId="77777777" w:rsidR="00B76E2C" w:rsidRPr="00455E70" w:rsidRDefault="00B76E2C" w:rsidP="00B76E2C">
      <w:pPr>
        <w:tabs>
          <w:tab w:val="left" w:pos="567"/>
        </w:tabs>
        <w:contextualSpacing/>
        <w:jc w:val="both"/>
      </w:pPr>
      <w:r w:rsidRPr="00455E70">
        <w:t xml:space="preserve">SBA предлагает 3 основные программы кредитования: </w:t>
      </w:r>
    </w:p>
    <w:p w14:paraId="68781A35" w14:textId="77777777" w:rsidR="00B76E2C" w:rsidRPr="00455E70" w:rsidRDefault="00B76E2C" w:rsidP="00B76E2C">
      <w:pPr>
        <w:numPr>
          <w:ilvl w:val="0"/>
          <w:numId w:val="7"/>
        </w:numPr>
        <w:tabs>
          <w:tab w:val="left" w:pos="567"/>
        </w:tabs>
        <w:contextualSpacing/>
        <w:jc w:val="both"/>
      </w:pPr>
      <w:r w:rsidRPr="00455E70">
        <w:t xml:space="preserve">7a Loan Program - программа с максимальной суммой кредита до $5 млн (2 </w:t>
      </w:r>
      <w:r>
        <w:t xml:space="preserve">млрд </w:t>
      </w:r>
      <w:r w:rsidRPr="00455E70">
        <w:t xml:space="preserve">тг.) и гарантиями до 85% (42,3 тыс. клиентов на $26,2 </w:t>
      </w:r>
      <w:r>
        <w:t>млрд</w:t>
      </w:r>
      <w:r w:rsidRPr="00455E70">
        <w:t>);</w:t>
      </w:r>
    </w:p>
    <w:p w14:paraId="629252D2" w14:textId="77777777" w:rsidR="00B76E2C" w:rsidRPr="00455E70" w:rsidRDefault="00B76E2C" w:rsidP="00B76E2C">
      <w:pPr>
        <w:numPr>
          <w:ilvl w:val="0"/>
          <w:numId w:val="7"/>
        </w:numPr>
        <w:tabs>
          <w:tab w:val="left" w:pos="567"/>
        </w:tabs>
        <w:contextualSpacing/>
        <w:jc w:val="both"/>
      </w:pPr>
      <w:r w:rsidRPr="00455E70">
        <w:t xml:space="preserve">504 Loans – программа кредитования с фиксированной ставкой, сроком до 25 лет и суммой до $5 млн (7,2 тыс на $ 5,8 </w:t>
      </w:r>
      <w:r>
        <w:t>млрд</w:t>
      </w:r>
      <w:r w:rsidRPr="00455E70">
        <w:t>);</w:t>
      </w:r>
    </w:p>
    <w:p w14:paraId="22802DE3" w14:textId="77777777" w:rsidR="00B76E2C" w:rsidRPr="00455E70" w:rsidRDefault="00B76E2C" w:rsidP="00B76E2C">
      <w:pPr>
        <w:numPr>
          <w:ilvl w:val="0"/>
          <w:numId w:val="7"/>
        </w:numPr>
        <w:tabs>
          <w:tab w:val="left" w:pos="567"/>
        </w:tabs>
        <w:contextualSpacing/>
        <w:jc w:val="both"/>
      </w:pPr>
      <w:r w:rsidRPr="00455E70">
        <w:t xml:space="preserve">Microloan – программа для микробизнеса с суммой до $50 тыс. (~20 </w:t>
      </w:r>
      <w:r>
        <w:t xml:space="preserve">млн </w:t>
      </w:r>
      <w:r w:rsidRPr="00455E70">
        <w:t xml:space="preserve">тг.) и грантом до 25% от суммы кредита (5,9 тыс. на $55 </w:t>
      </w:r>
      <w:r>
        <w:t>млн</w:t>
      </w:r>
      <w:r w:rsidRPr="00455E70">
        <w:t>).</w:t>
      </w:r>
    </w:p>
    <w:p w14:paraId="2A6D3103" w14:textId="77777777" w:rsidR="00B76E2C" w:rsidRPr="00455E70" w:rsidRDefault="00B76E2C" w:rsidP="00B76E2C">
      <w:pPr>
        <w:tabs>
          <w:tab w:val="left" w:pos="567"/>
        </w:tabs>
        <w:contextualSpacing/>
        <w:jc w:val="both"/>
      </w:pPr>
      <w:r w:rsidRPr="00455E70">
        <w:tab/>
        <w:t xml:space="preserve">Необходимо отметить, что в США успешно реализуется программа гарантирования по облигационным займам МСБ. За 2020 год было выдано 7 тыс. гарантий на общую сумму привлеченных средств 3,7 </w:t>
      </w:r>
      <w:r>
        <w:t>млрд</w:t>
      </w:r>
      <w:r w:rsidRPr="00455E70">
        <w:t xml:space="preserve"> долларов США.</w:t>
      </w:r>
    </w:p>
    <w:p w14:paraId="39FE07DF" w14:textId="77777777" w:rsidR="00B76E2C" w:rsidRPr="00455E70" w:rsidRDefault="00B76E2C" w:rsidP="00B76E2C">
      <w:pPr>
        <w:tabs>
          <w:tab w:val="left" w:pos="567"/>
        </w:tabs>
        <w:ind w:firstLine="567"/>
        <w:contextualSpacing/>
        <w:jc w:val="both"/>
      </w:pPr>
      <w:r w:rsidRPr="00455E70">
        <w:t>Если сравнить основные параметры развития экономики в части развития и вклада ММСП в экономику, мы можем видеть значимую роль ММСП в экономике США:</w:t>
      </w:r>
    </w:p>
    <w:p w14:paraId="6180D04C" w14:textId="77777777" w:rsidR="00B76E2C" w:rsidRPr="00455E70" w:rsidRDefault="00B76E2C" w:rsidP="00B76E2C">
      <w:pPr>
        <w:tabs>
          <w:tab w:val="left" w:pos="567"/>
        </w:tabs>
        <w:ind w:firstLine="567"/>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B76E2C" w:rsidRPr="00455E70" w14:paraId="7C8B7C12" w14:textId="77777777" w:rsidTr="001F04F1">
        <w:tc>
          <w:tcPr>
            <w:tcW w:w="5068" w:type="dxa"/>
            <w:shd w:val="clear" w:color="auto" w:fill="auto"/>
          </w:tcPr>
          <w:p w14:paraId="25C3EF18" w14:textId="77777777" w:rsidR="00B76E2C" w:rsidRPr="00455E70" w:rsidRDefault="00B76E2C" w:rsidP="001F04F1">
            <w:pPr>
              <w:tabs>
                <w:tab w:val="left" w:pos="567"/>
              </w:tabs>
              <w:contextualSpacing/>
              <w:jc w:val="center"/>
              <w:rPr>
                <w:rFonts w:eastAsia="Times New Roman"/>
                <w:b/>
              </w:rPr>
            </w:pPr>
            <w:r w:rsidRPr="00455E70">
              <w:rPr>
                <w:rFonts w:eastAsia="Times New Roman"/>
                <w:b/>
              </w:rPr>
              <w:t>США</w:t>
            </w:r>
          </w:p>
        </w:tc>
        <w:tc>
          <w:tcPr>
            <w:tcW w:w="5069" w:type="dxa"/>
            <w:shd w:val="clear" w:color="auto" w:fill="auto"/>
          </w:tcPr>
          <w:p w14:paraId="68B82C61" w14:textId="77777777" w:rsidR="00B76E2C" w:rsidRPr="00455E70" w:rsidRDefault="00B76E2C" w:rsidP="001F04F1">
            <w:pPr>
              <w:tabs>
                <w:tab w:val="left" w:pos="567"/>
              </w:tabs>
              <w:contextualSpacing/>
              <w:jc w:val="center"/>
              <w:rPr>
                <w:rFonts w:eastAsia="Times New Roman"/>
                <w:b/>
              </w:rPr>
            </w:pPr>
            <w:r w:rsidRPr="00455E70">
              <w:rPr>
                <w:rFonts w:eastAsia="Times New Roman"/>
                <w:b/>
              </w:rPr>
              <w:t>Казахстан</w:t>
            </w:r>
          </w:p>
        </w:tc>
      </w:tr>
      <w:tr w:rsidR="00B76E2C" w:rsidRPr="00455E70" w14:paraId="2149F7B8" w14:textId="77777777" w:rsidTr="001F04F1">
        <w:tc>
          <w:tcPr>
            <w:tcW w:w="5068" w:type="dxa"/>
            <w:shd w:val="clear" w:color="auto" w:fill="auto"/>
          </w:tcPr>
          <w:p w14:paraId="0E23C1E4" w14:textId="77777777" w:rsidR="00B76E2C" w:rsidRPr="00455E70" w:rsidRDefault="00B76E2C" w:rsidP="001F04F1">
            <w:pPr>
              <w:tabs>
                <w:tab w:val="left" w:pos="567"/>
              </w:tabs>
              <w:contextualSpacing/>
              <w:jc w:val="both"/>
              <w:rPr>
                <w:rFonts w:eastAsia="Times New Roman"/>
              </w:rPr>
            </w:pPr>
            <w:r w:rsidRPr="00455E70">
              <w:t>Количество малых предприятий</w:t>
            </w:r>
            <w:r w:rsidRPr="00455E70">
              <w:rPr>
                <w:rFonts w:eastAsia="Times New Roman"/>
              </w:rPr>
              <w:t xml:space="preserve"> - 30,2 млн </w:t>
            </w:r>
          </w:p>
          <w:p w14:paraId="0CD20B58" w14:textId="77777777" w:rsidR="00B76E2C" w:rsidRPr="00455E70" w:rsidRDefault="00B76E2C" w:rsidP="001F04F1">
            <w:pPr>
              <w:tabs>
                <w:tab w:val="left" w:pos="567"/>
              </w:tabs>
              <w:contextualSpacing/>
              <w:jc w:val="both"/>
              <w:rPr>
                <w:rFonts w:eastAsia="Times New Roman"/>
              </w:rPr>
            </w:pPr>
          </w:p>
        </w:tc>
        <w:tc>
          <w:tcPr>
            <w:tcW w:w="5069" w:type="dxa"/>
            <w:shd w:val="clear" w:color="auto" w:fill="auto"/>
          </w:tcPr>
          <w:p w14:paraId="7109D554" w14:textId="77777777" w:rsidR="00B76E2C" w:rsidRPr="00455E70" w:rsidRDefault="00B76E2C" w:rsidP="001F04F1">
            <w:pPr>
              <w:tabs>
                <w:tab w:val="left" w:pos="567"/>
              </w:tabs>
              <w:contextualSpacing/>
              <w:jc w:val="both"/>
              <w:rPr>
                <w:rFonts w:eastAsia="Times New Roman"/>
              </w:rPr>
            </w:pPr>
            <w:r w:rsidRPr="00455E70">
              <w:rPr>
                <w:rFonts w:eastAsia="Times New Roman"/>
              </w:rPr>
              <w:t xml:space="preserve">Количество </w:t>
            </w:r>
            <w:r w:rsidRPr="00455E70">
              <w:t>малых и средних предприятий</w:t>
            </w:r>
            <w:r w:rsidRPr="00455E70">
              <w:rPr>
                <w:rFonts w:eastAsia="Times New Roman"/>
              </w:rPr>
              <w:t xml:space="preserve"> - 1,4 млн </w:t>
            </w:r>
          </w:p>
        </w:tc>
      </w:tr>
      <w:tr w:rsidR="00B76E2C" w:rsidRPr="00455E70" w14:paraId="01153C17" w14:textId="77777777" w:rsidTr="001F04F1">
        <w:tc>
          <w:tcPr>
            <w:tcW w:w="5068" w:type="dxa"/>
            <w:shd w:val="clear" w:color="auto" w:fill="auto"/>
          </w:tcPr>
          <w:p w14:paraId="2DB11F98" w14:textId="77777777" w:rsidR="00B76E2C" w:rsidRPr="00455E70" w:rsidRDefault="00B76E2C" w:rsidP="001F04F1">
            <w:pPr>
              <w:tabs>
                <w:tab w:val="left" w:pos="567"/>
              </w:tabs>
              <w:contextualSpacing/>
              <w:jc w:val="both"/>
              <w:rPr>
                <w:rFonts w:eastAsia="Times New Roman"/>
              </w:rPr>
            </w:pPr>
            <w:r w:rsidRPr="00455E70">
              <w:rPr>
                <w:rFonts w:eastAsia="Times New Roman"/>
              </w:rPr>
              <w:t xml:space="preserve">Доля МП от общего количества СЧП - </w:t>
            </w:r>
            <w:r w:rsidRPr="00455E70">
              <w:rPr>
                <w:rFonts w:eastAsia="Times New Roman"/>
                <w:bCs/>
              </w:rPr>
              <w:t>99,9%</w:t>
            </w:r>
          </w:p>
        </w:tc>
        <w:tc>
          <w:tcPr>
            <w:tcW w:w="5069" w:type="dxa"/>
            <w:shd w:val="clear" w:color="auto" w:fill="auto"/>
          </w:tcPr>
          <w:p w14:paraId="7F15C436" w14:textId="77777777" w:rsidR="00B76E2C" w:rsidRPr="00455E70" w:rsidRDefault="00B76E2C" w:rsidP="001F04F1">
            <w:pPr>
              <w:tabs>
                <w:tab w:val="left" w:pos="567"/>
              </w:tabs>
              <w:contextualSpacing/>
              <w:jc w:val="both"/>
              <w:rPr>
                <w:rFonts w:eastAsia="Times New Roman"/>
              </w:rPr>
            </w:pPr>
            <w:r w:rsidRPr="00455E70">
              <w:rPr>
                <w:rFonts w:eastAsia="Times New Roman"/>
              </w:rPr>
              <w:t xml:space="preserve">Доля МСП от общего количества СЧП – </w:t>
            </w:r>
            <w:r w:rsidRPr="00455E70">
              <w:rPr>
                <w:rFonts w:eastAsia="Times New Roman"/>
                <w:bCs/>
              </w:rPr>
              <w:t>96%</w:t>
            </w:r>
          </w:p>
        </w:tc>
      </w:tr>
      <w:tr w:rsidR="00B76E2C" w:rsidRPr="00455E70" w14:paraId="3C8D9401" w14:textId="77777777" w:rsidTr="001F04F1">
        <w:tc>
          <w:tcPr>
            <w:tcW w:w="5068" w:type="dxa"/>
            <w:shd w:val="clear" w:color="auto" w:fill="auto"/>
          </w:tcPr>
          <w:p w14:paraId="26AEE432" w14:textId="77777777" w:rsidR="00B76E2C" w:rsidRPr="00455E70" w:rsidRDefault="00B76E2C" w:rsidP="001F04F1">
            <w:pPr>
              <w:tabs>
                <w:tab w:val="left" w:pos="567"/>
              </w:tabs>
              <w:contextualSpacing/>
              <w:jc w:val="both"/>
              <w:rPr>
                <w:rFonts w:eastAsia="Times New Roman"/>
              </w:rPr>
            </w:pPr>
            <w:r w:rsidRPr="00455E70">
              <w:t>Доля населения занятых в секторе МП</w:t>
            </w:r>
            <w:r w:rsidRPr="00455E70">
              <w:rPr>
                <w:rFonts w:eastAsia="Times New Roman"/>
              </w:rPr>
              <w:t xml:space="preserve"> - 48%</w:t>
            </w:r>
          </w:p>
          <w:p w14:paraId="1E752197" w14:textId="77777777" w:rsidR="00B76E2C" w:rsidRPr="00455E70" w:rsidRDefault="00B76E2C" w:rsidP="001F04F1">
            <w:pPr>
              <w:tabs>
                <w:tab w:val="left" w:pos="567"/>
              </w:tabs>
              <w:contextualSpacing/>
              <w:jc w:val="both"/>
              <w:rPr>
                <w:rFonts w:eastAsia="Times New Roman"/>
              </w:rPr>
            </w:pPr>
          </w:p>
        </w:tc>
        <w:tc>
          <w:tcPr>
            <w:tcW w:w="5069" w:type="dxa"/>
            <w:shd w:val="clear" w:color="auto" w:fill="auto"/>
          </w:tcPr>
          <w:p w14:paraId="0E967184" w14:textId="77777777" w:rsidR="00B76E2C" w:rsidRPr="00455E70" w:rsidRDefault="00B76E2C" w:rsidP="001F04F1">
            <w:pPr>
              <w:tabs>
                <w:tab w:val="left" w:pos="567"/>
              </w:tabs>
              <w:contextualSpacing/>
              <w:jc w:val="both"/>
              <w:rPr>
                <w:rFonts w:eastAsia="Times New Roman"/>
              </w:rPr>
            </w:pPr>
            <w:r w:rsidRPr="00455E70">
              <w:t>Доля населения занятых в секторе МСП</w:t>
            </w:r>
            <w:r w:rsidRPr="00455E70">
              <w:rPr>
                <w:rFonts w:eastAsia="Times New Roman"/>
              </w:rPr>
              <w:t xml:space="preserve"> - 38%</w:t>
            </w:r>
          </w:p>
        </w:tc>
      </w:tr>
      <w:tr w:rsidR="00B76E2C" w:rsidRPr="00455E70" w14:paraId="6FC0AD02" w14:textId="77777777" w:rsidTr="001F04F1">
        <w:tc>
          <w:tcPr>
            <w:tcW w:w="5068" w:type="dxa"/>
            <w:shd w:val="clear" w:color="auto" w:fill="auto"/>
          </w:tcPr>
          <w:p w14:paraId="1E73D1A8" w14:textId="77777777" w:rsidR="00B76E2C" w:rsidRPr="00455E70" w:rsidRDefault="00B76E2C" w:rsidP="001F04F1">
            <w:pPr>
              <w:tabs>
                <w:tab w:val="left" w:pos="567"/>
              </w:tabs>
              <w:contextualSpacing/>
              <w:jc w:val="both"/>
              <w:rPr>
                <w:rFonts w:eastAsia="Times New Roman"/>
              </w:rPr>
            </w:pPr>
            <w:r w:rsidRPr="00455E70">
              <w:t>Доля МП в ВВП страны</w:t>
            </w:r>
            <w:r w:rsidRPr="00455E70">
              <w:rPr>
                <w:rFonts w:eastAsia="Times New Roman"/>
              </w:rPr>
              <w:t xml:space="preserve"> - 44%</w:t>
            </w:r>
            <w:r w:rsidRPr="00455E70">
              <w:rPr>
                <w:rStyle w:val="af5"/>
                <w:rFonts w:eastAsia="Times New Roman"/>
              </w:rPr>
              <w:footnoteReference w:id="1"/>
            </w:r>
          </w:p>
        </w:tc>
        <w:tc>
          <w:tcPr>
            <w:tcW w:w="5069" w:type="dxa"/>
            <w:shd w:val="clear" w:color="auto" w:fill="auto"/>
          </w:tcPr>
          <w:p w14:paraId="5C3EC962" w14:textId="77777777" w:rsidR="00B76E2C" w:rsidRPr="00455E70" w:rsidRDefault="00B76E2C" w:rsidP="001F04F1">
            <w:pPr>
              <w:tabs>
                <w:tab w:val="left" w:pos="567"/>
              </w:tabs>
              <w:contextualSpacing/>
              <w:jc w:val="both"/>
              <w:rPr>
                <w:rFonts w:eastAsia="Times New Roman"/>
              </w:rPr>
            </w:pPr>
            <w:r w:rsidRPr="00455E70">
              <w:t>Доля МСП в ВВП страны</w:t>
            </w:r>
            <w:r w:rsidRPr="00455E70">
              <w:rPr>
                <w:rFonts w:eastAsia="Times New Roman"/>
              </w:rPr>
              <w:t xml:space="preserve"> – 31%</w:t>
            </w:r>
          </w:p>
        </w:tc>
      </w:tr>
    </w:tbl>
    <w:p w14:paraId="4DBA21F5" w14:textId="77777777" w:rsidR="00B76E2C" w:rsidRPr="00455E70" w:rsidRDefault="00B76E2C" w:rsidP="00B76E2C">
      <w:pPr>
        <w:tabs>
          <w:tab w:val="left" w:pos="567"/>
        </w:tabs>
        <w:ind w:firstLine="567"/>
        <w:contextualSpacing/>
        <w:jc w:val="both"/>
      </w:pPr>
      <w:r w:rsidRPr="00455E70">
        <w:t xml:space="preserve"> </w:t>
      </w:r>
    </w:p>
    <w:p w14:paraId="78B59422" w14:textId="77777777" w:rsidR="00B76E2C" w:rsidRPr="00455E70" w:rsidRDefault="00B76E2C" w:rsidP="00B76E2C">
      <w:pPr>
        <w:tabs>
          <w:tab w:val="left" w:pos="567"/>
        </w:tabs>
        <w:ind w:firstLine="567"/>
        <w:contextualSpacing/>
        <w:jc w:val="both"/>
      </w:pPr>
      <w:r w:rsidRPr="00455E70">
        <w:t xml:space="preserve">На протяжении сорока лет корейскими некоммерческими государственными институтами развития </w:t>
      </w:r>
      <w:r w:rsidRPr="00455E70">
        <w:rPr>
          <w:lang w:val="en-US"/>
        </w:rPr>
        <w:t>KODIT</w:t>
      </w:r>
      <w:r w:rsidRPr="00455E70">
        <w:t xml:space="preserve"> и </w:t>
      </w:r>
      <w:r w:rsidRPr="00455E70">
        <w:rPr>
          <w:lang w:val="en-US"/>
        </w:rPr>
        <w:t>KOSME</w:t>
      </w:r>
      <w:r w:rsidRPr="00455E70">
        <w:t xml:space="preserve"> также реализуются услуги по поддержке бизнеса. </w:t>
      </w:r>
    </w:p>
    <w:p w14:paraId="6900DE46" w14:textId="77777777" w:rsidR="00B76E2C" w:rsidRPr="00455E70" w:rsidRDefault="00B76E2C" w:rsidP="00B76E2C">
      <w:pPr>
        <w:tabs>
          <w:tab w:val="left" w:pos="567"/>
        </w:tabs>
        <w:ind w:firstLine="567"/>
        <w:contextualSpacing/>
        <w:jc w:val="both"/>
      </w:pPr>
      <w:r w:rsidRPr="00455E70">
        <w:t xml:space="preserve">KODIT – государственный финансовый институт, созданный в 1976 году в соответствии с положениями Закона о Фонде гарантирования кредитов Кореи. Как указано в статье 1 Закона о Фонде гарантирования кредитов в Корее, цель KODIT состоит в том, </w:t>
      </w:r>
      <w:r w:rsidRPr="00455E70">
        <w:lastRenderedPageBreak/>
        <w:t>чтобы обеспечить сбалансированное развитие национальной экономики путем предоставления кредитных гарантий для обязательств перспективных МСП, которые не имеют материального обеспечения. Основные задачи KODIT следующие:</w:t>
      </w:r>
    </w:p>
    <w:p w14:paraId="615C226E" w14:textId="77777777" w:rsidR="00B76E2C" w:rsidRPr="00455E70" w:rsidRDefault="00B76E2C" w:rsidP="00B76E2C">
      <w:pPr>
        <w:numPr>
          <w:ilvl w:val="0"/>
          <w:numId w:val="6"/>
        </w:numPr>
        <w:tabs>
          <w:tab w:val="left" w:pos="567"/>
        </w:tabs>
        <w:contextualSpacing/>
        <w:jc w:val="both"/>
      </w:pPr>
      <w:r w:rsidRPr="00455E70">
        <w:t>Расширение услуг по предоставлению кредитных гарантий на обязательства перспективных предприятий, не имеющих материального обеспечения;</w:t>
      </w:r>
    </w:p>
    <w:p w14:paraId="26A1D198" w14:textId="77777777" w:rsidR="00B76E2C" w:rsidRPr="00455E70" w:rsidRDefault="00B76E2C" w:rsidP="00B76E2C">
      <w:pPr>
        <w:numPr>
          <w:ilvl w:val="0"/>
          <w:numId w:val="6"/>
        </w:numPr>
        <w:tabs>
          <w:tab w:val="left" w:pos="567"/>
        </w:tabs>
        <w:contextualSpacing/>
        <w:jc w:val="both"/>
      </w:pPr>
      <w:r w:rsidRPr="00455E70">
        <w:t>Стимулирование надежных кредитных операций посредством эффективного управления и использования кредитной информации;</w:t>
      </w:r>
    </w:p>
    <w:p w14:paraId="28F282D2" w14:textId="77777777" w:rsidR="00B76E2C" w:rsidRPr="00455E70" w:rsidRDefault="00B76E2C" w:rsidP="00B76E2C">
      <w:pPr>
        <w:tabs>
          <w:tab w:val="left" w:pos="567"/>
        </w:tabs>
        <w:ind w:firstLine="567"/>
        <w:contextualSpacing/>
        <w:jc w:val="both"/>
      </w:pPr>
      <w:r w:rsidRPr="00455E70">
        <w:t xml:space="preserve">KODIT оказывает широкий перечень услуг по гарантированию: гарантия по кредитам банков и других финансовых партнеров, гарантия по корпоративным облигациям, налогам и пошлинам, гарантия коммерческим векселям, страхование дебиторской задолженности и т.д. А также специальные гарантии для стабилизации рынка: гарантии по промежуточному финансированию и стабилизации рынка облигации. Всего KODIT выдает 11 видов гарантий и по состоянию на 01.01.2018 г. было выдано 206 764 гарантий на общую сумму 47 476 </w:t>
      </w:r>
      <w:r>
        <w:t>млн</w:t>
      </w:r>
      <w:r w:rsidRPr="00455E70">
        <w:t xml:space="preserve"> долл. США, в среднем на одну гарантию 229,6 тыс. долл. США.</w:t>
      </w:r>
      <w:r w:rsidRPr="00455E70">
        <w:rPr>
          <w:rStyle w:val="af5"/>
        </w:rPr>
        <w:footnoteReference w:id="2"/>
      </w:r>
    </w:p>
    <w:p w14:paraId="7A917A84" w14:textId="77777777" w:rsidR="00B76E2C" w:rsidRPr="00455E70" w:rsidRDefault="00B76E2C" w:rsidP="00B76E2C">
      <w:pPr>
        <w:tabs>
          <w:tab w:val="left" w:pos="567"/>
        </w:tabs>
        <w:ind w:firstLine="567"/>
        <w:contextualSpacing/>
        <w:jc w:val="both"/>
      </w:pPr>
      <w:r w:rsidRPr="00455E70">
        <w:rPr>
          <w:lang w:val="en-US"/>
        </w:rPr>
        <w:t>KOSME</w:t>
      </w:r>
      <w:r w:rsidRPr="00455E70">
        <w:t xml:space="preserve"> - некоммерческая организация, финансируемая государством, созданная для реализации государственной политики и программ для устойчивого роста и развития корейских малых и средних предприятий. Основной задачей Корейского агентства МСП и стартапов является разработка политики по развитию венчурного капитала и содействие активации экспорта со стороны малого и среднего бизнеса с целью роста предприятий малого инновационного бизнеса и местного развития малого бизнеса.</w:t>
      </w:r>
    </w:p>
    <w:p w14:paraId="3A161E0D" w14:textId="77777777" w:rsidR="00B76E2C" w:rsidRPr="00455E70" w:rsidRDefault="00B76E2C" w:rsidP="00B76E2C">
      <w:pPr>
        <w:tabs>
          <w:tab w:val="left" w:pos="567"/>
        </w:tabs>
        <w:contextualSpacing/>
        <w:jc w:val="both"/>
      </w:pPr>
      <w:r w:rsidRPr="00455E70">
        <w:tab/>
      </w:r>
      <w:r w:rsidRPr="00455E70">
        <w:rPr>
          <w:lang w:val="en-US"/>
        </w:rPr>
        <w:t>KOSME</w:t>
      </w:r>
      <w:r w:rsidRPr="00455E70">
        <w:t xml:space="preserve"> оказывает широкий спектр поддержки МСП:</w:t>
      </w:r>
    </w:p>
    <w:p w14:paraId="7D8BBB8D" w14:textId="77777777" w:rsidR="00B76E2C" w:rsidRPr="00455E70" w:rsidRDefault="00B76E2C" w:rsidP="00B76E2C">
      <w:pPr>
        <w:numPr>
          <w:ilvl w:val="0"/>
          <w:numId w:val="5"/>
        </w:numPr>
        <w:tabs>
          <w:tab w:val="left" w:pos="567"/>
        </w:tabs>
        <w:contextualSpacing/>
        <w:jc w:val="both"/>
      </w:pPr>
      <w:r w:rsidRPr="00455E70">
        <w:t>Поощрение мер по созданию малых и средних предприятий;</w:t>
      </w:r>
    </w:p>
    <w:p w14:paraId="74A70076" w14:textId="77777777" w:rsidR="00B76E2C" w:rsidRPr="00455E70" w:rsidRDefault="00B76E2C" w:rsidP="00B76E2C">
      <w:pPr>
        <w:numPr>
          <w:ilvl w:val="0"/>
          <w:numId w:val="5"/>
        </w:numPr>
        <w:tabs>
          <w:tab w:val="left" w:pos="567"/>
        </w:tabs>
        <w:contextualSpacing/>
        <w:jc w:val="both"/>
      </w:pPr>
      <w:r w:rsidRPr="00455E70">
        <w:t>Составление бизнес-планов по реструктуризации сотрудничающих малых и больших предприятий;</w:t>
      </w:r>
    </w:p>
    <w:p w14:paraId="45C9B2F7" w14:textId="77777777" w:rsidR="00B76E2C" w:rsidRPr="00455E70" w:rsidRDefault="00B76E2C" w:rsidP="00B76E2C">
      <w:pPr>
        <w:numPr>
          <w:ilvl w:val="0"/>
          <w:numId w:val="5"/>
        </w:numPr>
        <w:tabs>
          <w:tab w:val="left" w:pos="567"/>
        </w:tabs>
        <w:contextualSpacing/>
        <w:jc w:val="both"/>
      </w:pPr>
      <w:r w:rsidRPr="00455E70">
        <w:t>Ликвидация последствий стихийных последствий, коснувшихся малого бизнеса;</w:t>
      </w:r>
    </w:p>
    <w:p w14:paraId="65E3908F" w14:textId="77777777" w:rsidR="00B76E2C" w:rsidRPr="00455E70" w:rsidRDefault="00B76E2C" w:rsidP="00B76E2C">
      <w:pPr>
        <w:numPr>
          <w:ilvl w:val="0"/>
          <w:numId w:val="5"/>
        </w:numPr>
        <w:tabs>
          <w:tab w:val="left" w:pos="567"/>
        </w:tabs>
        <w:contextualSpacing/>
        <w:jc w:val="both"/>
      </w:pPr>
      <w:r w:rsidRPr="00455E70">
        <w:t>Анализ и обзор тенденций;</w:t>
      </w:r>
    </w:p>
    <w:p w14:paraId="662DAE31" w14:textId="77777777" w:rsidR="00B76E2C" w:rsidRPr="00455E70" w:rsidRDefault="00B76E2C" w:rsidP="00B76E2C">
      <w:pPr>
        <w:numPr>
          <w:ilvl w:val="0"/>
          <w:numId w:val="5"/>
        </w:numPr>
        <w:tabs>
          <w:tab w:val="left" w:pos="567"/>
        </w:tabs>
        <w:contextualSpacing/>
        <w:jc w:val="both"/>
      </w:pPr>
      <w:r w:rsidRPr="00455E70">
        <w:t>Развитие и поддержка венчурного капитала;</w:t>
      </w:r>
    </w:p>
    <w:p w14:paraId="01806B64" w14:textId="77777777" w:rsidR="00B76E2C" w:rsidRPr="00455E70" w:rsidRDefault="00B76E2C" w:rsidP="00B76E2C">
      <w:pPr>
        <w:numPr>
          <w:ilvl w:val="0"/>
          <w:numId w:val="5"/>
        </w:numPr>
        <w:tabs>
          <w:tab w:val="left" w:pos="567"/>
        </w:tabs>
        <w:contextualSpacing/>
        <w:jc w:val="both"/>
      </w:pPr>
      <w:r w:rsidRPr="00455E70">
        <w:t>Поддержка владелиц малого и среднего бизнеса;</w:t>
      </w:r>
    </w:p>
    <w:p w14:paraId="36A489C9" w14:textId="77777777" w:rsidR="00B76E2C" w:rsidRPr="00455E70" w:rsidRDefault="00B76E2C" w:rsidP="00B76E2C">
      <w:pPr>
        <w:numPr>
          <w:ilvl w:val="0"/>
          <w:numId w:val="5"/>
        </w:numPr>
        <w:tabs>
          <w:tab w:val="left" w:pos="567"/>
        </w:tabs>
        <w:contextualSpacing/>
        <w:jc w:val="both"/>
      </w:pPr>
      <w:r w:rsidRPr="00455E70">
        <w:t>Частичное финансирование некоторых областей малого бизнеса;</w:t>
      </w:r>
    </w:p>
    <w:p w14:paraId="6146AF2C" w14:textId="77777777" w:rsidR="00B76E2C" w:rsidRPr="00455E70" w:rsidRDefault="00B76E2C" w:rsidP="00B76E2C">
      <w:pPr>
        <w:numPr>
          <w:ilvl w:val="0"/>
          <w:numId w:val="5"/>
        </w:numPr>
        <w:tabs>
          <w:tab w:val="left" w:pos="567"/>
        </w:tabs>
        <w:contextualSpacing/>
        <w:jc w:val="both"/>
      </w:pPr>
      <w:r w:rsidRPr="00455E70">
        <w:t>Расширение каналов сбыта для продукции малых и средних компаний;</w:t>
      </w:r>
    </w:p>
    <w:p w14:paraId="6FBB1767" w14:textId="77777777" w:rsidR="00B76E2C" w:rsidRPr="00455E70" w:rsidRDefault="00B76E2C" w:rsidP="00B76E2C">
      <w:pPr>
        <w:numPr>
          <w:ilvl w:val="0"/>
          <w:numId w:val="5"/>
        </w:numPr>
        <w:tabs>
          <w:tab w:val="left" w:pos="567"/>
        </w:tabs>
        <w:contextualSpacing/>
        <w:jc w:val="both"/>
      </w:pPr>
      <w:r w:rsidRPr="00455E70">
        <w:t>Стимулирование иностранной поддержки рыночной деятельности малых и средних предприятий;</w:t>
      </w:r>
    </w:p>
    <w:p w14:paraId="777DC440" w14:textId="77777777" w:rsidR="00B76E2C" w:rsidRPr="00455E70" w:rsidRDefault="00B76E2C" w:rsidP="00B76E2C">
      <w:pPr>
        <w:numPr>
          <w:ilvl w:val="0"/>
          <w:numId w:val="5"/>
        </w:numPr>
        <w:tabs>
          <w:tab w:val="left" w:pos="567"/>
        </w:tabs>
        <w:contextualSpacing/>
        <w:jc w:val="both"/>
      </w:pPr>
      <w:r w:rsidRPr="00455E70">
        <w:t>Развитие информатизации малого и среднего бизнеса;</w:t>
      </w:r>
    </w:p>
    <w:p w14:paraId="2EDEB294" w14:textId="77777777" w:rsidR="00B76E2C" w:rsidRPr="00455E70" w:rsidRDefault="00B76E2C" w:rsidP="00B76E2C">
      <w:pPr>
        <w:numPr>
          <w:ilvl w:val="0"/>
          <w:numId w:val="5"/>
        </w:numPr>
        <w:tabs>
          <w:tab w:val="left" w:pos="567"/>
        </w:tabs>
        <w:contextualSpacing/>
        <w:jc w:val="both"/>
      </w:pPr>
      <w:r w:rsidRPr="00455E70">
        <w:t>Другие виды технической помощи.</w:t>
      </w:r>
    </w:p>
    <w:p w14:paraId="30759DD3" w14:textId="77777777" w:rsidR="00B76E2C" w:rsidRPr="00455E70" w:rsidRDefault="00B76E2C" w:rsidP="00B76E2C">
      <w:pPr>
        <w:tabs>
          <w:tab w:val="left" w:pos="567"/>
        </w:tabs>
        <w:ind w:left="360"/>
        <w:contextualSpacing/>
        <w:jc w:val="both"/>
      </w:pPr>
      <w:r w:rsidRPr="00455E70">
        <w:rPr>
          <w:rStyle w:val="af5"/>
        </w:rPr>
        <w:footnoteReference w:id="3"/>
      </w:r>
    </w:p>
    <w:p w14:paraId="2B347B20" w14:textId="77777777" w:rsidR="00B76E2C" w:rsidRPr="00455E70" w:rsidRDefault="00B76E2C" w:rsidP="00B76E2C">
      <w:pPr>
        <w:tabs>
          <w:tab w:val="left" w:pos="567"/>
        </w:tabs>
        <w:ind w:left="720"/>
        <w:contextualSpacing/>
        <w:jc w:val="both"/>
      </w:pPr>
      <w:r w:rsidRPr="00455E70">
        <w:t>Сравнение общей статистики МСП двух стран: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B76E2C" w:rsidRPr="00455E70" w14:paraId="3DE191D4" w14:textId="77777777" w:rsidTr="001F04F1">
        <w:tc>
          <w:tcPr>
            <w:tcW w:w="4927" w:type="dxa"/>
            <w:shd w:val="clear" w:color="auto" w:fill="auto"/>
          </w:tcPr>
          <w:p w14:paraId="17643B71" w14:textId="77777777" w:rsidR="00B76E2C" w:rsidRPr="00455E70" w:rsidRDefault="00B76E2C" w:rsidP="001F04F1">
            <w:pPr>
              <w:tabs>
                <w:tab w:val="left" w:pos="567"/>
              </w:tabs>
              <w:contextualSpacing/>
              <w:jc w:val="center"/>
              <w:rPr>
                <w:rFonts w:eastAsia="Times New Roman"/>
                <w:b/>
              </w:rPr>
            </w:pPr>
            <w:r w:rsidRPr="00455E70">
              <w:rPr>
                <w:rFonts w:eastAsia="Times New Roman"/>
                <w:b/>
              </w:rPr>
              <w:t>Южная Корея</w:t>
            </w:r>
          </w:p>
        </w:tc>
        <w:tc>
          <w:tcPr>
            <w:tcW w:w="4928" w:type="dxa"/>
            <w:shd w:val="clear" w:color="auto" w:fill="auto"/>
          </w:tcPr>
          <w:p w14:paraId="7B491618" w14:textId="77777777" w:rsidR="00B76E2C" w:rsidRPr="00455E70" w:rsidRDefault="00B76E2C" w:rsidP="001F04F1">
            <w:pPr>
              <w:tabs>
                <w:tab w:val="left" w:pos="567"/>
              </w:tabs>
              <w:contextualSpacing/>
              <w:jc w:val="center"/>
              <w:rPr>
                <w:rFonts w:eastAsia="Times New Roman"/>
                <w:b/>
              </w:rPr>
            </w:pPr>
            <w:r w:rsidRPr="00455E70">
              <w:rPr>
                <w:rFonts w:eastAsia="Times New Roman"/>
                <w:b/>
              </w:rPr>
              <w:t>Казахстан</w:t>
            </w:r>
          </w:p>
        </w:tc>
      </w:tr>
      <w:tr w:rsidR="00B76E2C" w:rsidRPr="00455E70" w14:paraId="4C02AA50" w14:textId="77777777" w:rsidTr="001F04F1">
        <w:tc>
          <w:tcPr>
            <w:tcW w:w="4927" w:type="dxa"/>
            <w:shd w:val="clear" w:color="auto" w:fill="auto"/>
          </w:tcPr>
          <w:p w14:paraId="11A43647" w14:textId="77777777" w:rsidR="00B76E2C" w:rsidRPr="00455E70" w:rsidRDefault="00B76E2C" w:rsidP="001F04F1">
            <w:pPr>
              <w:tabs>
                <w:tab w:val="left" w:pos="567"/>
              </w:tabs>
              <w:contextualSpacing/>
              <w:jc w:val="both"/>
              <w:rPr>
                <w:rFonts w:eastAsia="Times New Roman"/>
              </w:rPr>
            </w:pPr>
            <w:r w:rsidRPr="00455E70">
              <w:t>Количество малых и средних предприятий</w:t>
            </w:r>
            <w:r w:rsidRPr="00455E70">
              <w:rPr>
                <w:rFonts w:eastAsia="Times New Roman"/>
              </w:rPr>
              <w:t xml:space="preserve"> - 3 млн </w:t>
            </w:r>
          </w:p>
        </w:tc>
        <w:tc>
          <w:tcPr>
            <w:tcW w:w="4928" w:type="dxa"/>
            <w:shd w:val="clear" w:color="auto" w:fill="auto"/>
          </w:tcPr>
          <w:p w14:paraId="63C30779" w14:textId="77777777" w:rsidR="00B76E2C" w:rsidRPr="00455E70" w:rsidRDefault="00B76E2C" w:rsidP="001F04F1">
            <w:pPr>
              <w:tabs>
                <w:tab w:val="left" w:pos="567"/>
              </w:tabs>
              <w:contextualSpacing/>
              <w:jc w:val="both"/>
              <w:rPr>
                <w:rFonts w:eastAsia="Times New Roman"/>
              </w:rPr>
            </w:pPr>
            <w:r w:rsidRPr="00455E70">
              <w:rPr>
                <w:rFonts w:eastAsia="Times New Roman"/>
              </w:rPr>
              <w:t xml:space="preserve">Количество </w:t>
            </w:r>
            <w:r w:rsidRPr="00455E70">
              <w:t>малых и средних предприятий</w:t>
            </w:r>
            <w:r w:rsidRPr="00455E70">
              <w:rPr>
                <w:rFonts w:eastAsia="Times New Roman"/>
              </w:rPr>
              <w:t xml:space="preserve"> - 1,4 млн </w:t>
            </w:r>
          </w:p>
        </w:tc>
      </w:tr>
      <w:tr w:rsidR="00B76E2C" w:rsidRPr="00455E70" w14:paraId="10F9BDB3" w14:textId="77777777" w:rsidTr="001F04F1">
        <w:tc>
          <w:tcPr>
            <w:tcW w:w="4927" w:type="dxa"/>
            <w:shd w:val="clear" w:color="auto" w:fill="auto"/>
          </w:tcPr>
          <w:p w14:paraId="1D4C947C" w14:textId="77777777" w:rsidR="00B76E2C" w:rsidRPr="00455E70" w:rsidRDefault="00B76E2C" w:rsidP="001F04F1">
            <w:pPr>
              <w:tabs>
                <w:tab w:val="left" w:pos="567"/>
              </w:tabs>
              <w:contextualSpacing/>
              <w:jc w:val="both"/>
              <w:rPr>
                <w:rFonts w:eastAsia="Times New Roman"/>
              </w:rPr>
            </w:pPr>
            <w:r w:rsidRPr="00455E70">
              <w:rPr>
                <w:rFonts w:eastAsia="Times New Roman"/>
              </w:rPr>
              <w:t xml:space="preserve">Доля МСП от общего количества СЧП - </w:t>
            </w:r>
            <w:r w:rsidRPr="00455E70">
              <w:rPr>
                <w:rFonts w:eastAsia="Times New Roman"/>
                <w:bCs/>
              </w:rPr>
              <w:t>99%</w:t>
            </w:r>
          </w:p>
        </w:tc>
        <w:tc>
          <w:tcPr>
            <w:tcW w:w="4928" w:type="dxa"/>
            <w:shd w:val="clear" w:color="auto" w:fill="auto"/>
          </w:tcPr>
          <w:p w14:paraId="1DE90F39" w14:textId="77777777" w:rsidR="00B76E2C" w:rsidRPr="00455E70" w:rsidRDefault="00B76E2C" w:rsidP="001F04F1">
            <w:pPr>
              <w:tabs>
                <w:tab w:val="left" w:pos="567"/>
              </w:tabs>
              <w:contextualSpacing/>
              <w:jc w:val="both"/>
              <w:rPr>
                <w:rFonts w:eastAsia="Times New Roman"/>
              </w:rPr>
            </w:pPr>
            <w:r w:rsidRPr="00455E70">
              <w:rPr>
                <w:rFonts w:eastAsia="Times New Roman"/>
              </w:rPr>
              <w:t xml:space="preserve">Доля МСП от общего количества СЧП – </w:t>
            </w:r>
            <w:r w:rsidRPr="00455E70">
              <w:rPr>
                <w:rFonts w:eastAsia="Times New Roman"/>
                <w:bCs/>
              </w:rPr>
              <w:t>96%</w:t>
            </w:r>
          </w:p>
        </w:tc>
      </w:tr>
      <w:tr w:rsidR="00B76E2C" w:rsidRPr="00455E70" w14:paraId="6AC45DB0" w14:textId="77777777" w:rsidTr="001F04F1">
        <w:tc>
          <w:tcPr>
            <w:tcW w:w="4927" w:type="dxa"/>
            <w:shd w:val="clear" w:color="auto" w:fill="auto"/>
          </w:tcPr>
          <w:p w14:paraId="0EB07185" w14:textId="56B23D14" w:rsidR="00B76E2C" w:rsidRPr="00455E70" w:rsidRDefault="00B76E2C" w:rsidP="001F04F1">
            <w:pPr>
              <w:tabs>
                <w:tab w:val="left" w:pos="567"/>
              </w:tabs>
              <w:contextualSpacing/>
              <w:jc w:val="both"/>
              <w:rPr>
                <w:rFonts w:eastAsia="Times New Roman"/>
              </w:rPr>
            </w:pPr>
            <w:r w:rsidRPr="00455E70">
              <w:t>Доля населения занятых в секторе МСП</w:t>
            </w:r>
            <w:r w:rsidR="00DA51D4">
              <w:rPr>
                <w:rFonts w:eastAsia="Times New Roman"/>
              </w:rPr>
              <w:t xml:space="preserve"> - 80%</w:t>
            </w:r>
          </w:p>
        </w:tc>
        <w:tc>
          <w:tcPr>
            <w:tcW w:w="4928" w:type="dxa"/>
            <w:shd w:val="clear" w:color="auto" w:fill="auto"/>
          </w:tcPr>
          <w:p w14:paraId="21FFBB62" w14:textId="77777777" w:rsidR="00B76E2C" w:rsidRPr="00455E70" w:rsidRDefault="00B76E2C" w:rsidP="001F04F1">
            <w:pPr>
              <w:tabs>
                <w:tab w:val="left" w:pos="567"/>
              </w:tabs>
              <w:contextualSpacing/>
              <w:jc w:val="both"/>
              <w:rPr>
                <w:rFonts w:eastAsia="Times New Roman"/>
              </w:rPr>
            </w:pPr>
            <w:r w:rsidRPr="00455E70">
              <w:t>Доля населения занятых в секторе МСП</w:t>
            </w:r>
            <w:r w:rsidRPr="00455E70">
              <w:rPr>
                <w:rFonts w:eastAsia="Times New Roman"/>
              </w:rPr>
              <w:t xml:space="preserve"> - 38%</w:t>
            </w:r>
          </w:p>
        </w:tc>
      </w:tr>
      <w:tr w:rsidR="00B76E2C" w:rsidRPr="00455E70" w14:paraId="61D5E54A" w14:textId="77777777" w:rsidTr="001F04F1">
        <w:tc>
          <w:tcPr>
            <w:tcW w:w="4927" w:type="dxa"/>
            <w:shd w:val="clear" w:color="auto" w:fill="auto"/>
          </w:tcPr>
          <w:p w14:paraId="0A4B26E5" w14:textId="77777777" w:rsidR="00B76E2C" w:rsidRPr="00455E70" w:rsidRDefault="00B76E2C" w:rsidP="001F04F1">
            <w:pPr>
              <w:tabs>
                <w:tab w:val="left" w:pos="567"/>
              </w:tabs>
              <w:contextualSpacing/>
              <w:jc w:val="both"/>
              <w:rPr>
                <w:rFonts w:eastAsia="Times New Roman"/>
              </w:rPr>
            </w:pPr>
            <w:r w:rsidRPr="00455E70">
              <w:t>Доля МП в ВВП страны</w:t>
            </w:r>
            <w:r w:rsidRPr="00455E70">
              <w:rPr>
                <w:rFonts w:eastAsia="Times New Roman"/>
              </w:rPr>
              <w:t xml:space="preserve"> - 50%</w:t>
            </w:r>
          </w:p>
        </w:tc>
        <w:tc>
          <w:tcPr>
            <w:tcW w:w="4928" w:type="dxa"/>
            <w:shd w:val="clear" w:color="auto" w:fill="auto"/>
          </w:tcPr>
          <w:p w14:paraId="001FDFB5" w14:textId="77777777" w:rsidR="00B76E2C" w:rsidRPr="00455E70" w:rsidRDefault="00B76E2C" w:rsidP="001F04F1">
            <w:pPr>
              <w:tabs>
                <w:tab w:val="left" w:pos="567"/>
              </w:tabs>
              <w:contextualSpacing/>
              <w:jc w:val="both"/>
              <w:rPr>
                <w:rFonts w:eastAsia="Times New Roman"/>
              </w:rPr>
            </w:pPr>
            <w:r w:rsidRPr="00455E70">
              <w:t>Доля МСП в ВВП страны</w:t>
            </w:r>
            <w:r w:rsidRPr="00455E70">
              <w:rPr>
                <w:rFonts w:eastAsia="Times New Roman"/>
              </w:rPr>
              <w:t xml:space="preserve"> – 31%</w:t>
            </w:r>
          </w:p>
        </w:tc>
      </w:tr>
    </w:tbl>
    <w:p w14:paraId="65CA2D1C" w14:textId="77777777" w:rsidR="00B76E2C" w:rsidRPr="00455E70" w:rsidRDefault="00B76E2C" w:rsidP="00B76E2C">
      <w:pPr>
        <w:tabs>
          <w:tab w:val="left" w:pos="567"/>
        </w:tabs>
        <w:ind w:left="720"/>
        <w:contextualSpacing/>
        <w:jc w:val="both"/>
      </w:pPr>
    </w:p>
    <w:p w14:paraId="1831829C" w14:textId="77777777" w:rsidR="00B76E2C" w:rsidRPr="00455E70" w:rsidRDefault="00B76E2C" w:rsidP="00B76E2C">
      <w:pPr>
        <w:tabs>
          <w:tab w:val="left" w:pos="567"/>
        </w:tabs>
        <w:contextualSpacing/>
        <w:jc w:val="both"/>
      </w:pPr>
      <w:r w:rsidRPr="00455E70">
        <w:tab/>
        <w:t xml:space="preserve">В Польше МСБ также играет важную роль в развитие экономики. Доля МСП в ВВП страны оценивается на уровне 53%. Основными государственными органами по поддержке </w:t>
      </w:r>
      <w:r w:rsidRPr="00455E70">
        <w:lastRenderedPageBreak/>
        <w:t>польских предпринимателей являются Польское агентство развития предпринимательства (</w:t>
      </w:r>
      <w:r w:rsidRPr="00455E70">
        <w:rPr>
          <w:lang w:val="en-US"/>
        </w:rPr>
        <w:t>PARP</w:t>
      </w:r>
      <w:r w:rsidRPr="00455E70">
        <w:t xml:space="preserve">) и Государственный банк – Банк народного хозяйства. </w:t>
      </w:r>
    </w:p>
    <w:p w14:paraId="3E6C62AE" w14:textId="77777777" w:rsidR="00B76E2C" w:rsidRPr="00455E70" w:rsidRDefault="00B76E2C" w:rsidP="00B76E2C">
      <w:pPr>
        <w:tabs>
          <w:tab w:val="left" w:pos="567"/>
        </w:tabs>
        <w:contextualSpacing/>
        <w:jc w:val="both"/>
      </w:pPr>
      <w:r w:rsidRPr="003A22B9">
        <w:tab/>
      </w:r>
      <w:r w:rsidRPr="00455E70">
        <w:rPr>
          <w:lang w:val="en-US"/>
        </w:rPr>
        <w:t>PARP</w:t>
      </w:r>
      <w:r w:rsidRPr="00455E70">
        <w:t xml:space="preserve"> является агентством, ответственным за проведение действий в рамках нескольких операционных программ - инновационной экономики, человеческого капитала и развития восточной Польши. В рамках этих программ предприниматели могут получить:</w:t>
      </w:r>
    </w:p>
    <w:p w14:paraId="5F12760A" w14:textId="77777777" w:rsidR="00B76E2C" w:rsidRPr="00455E70" w:rsidRDefault="00B76E2C" w:rsidP="00B76E2C">
      <w:pPr>
        <w:numPr>
          <w:ilvl w:val="0"/>
          <w:numId w:val="8"/>
        </w:numPr>
        <w:tabs>
          <w:tab w:val="left" w:pos="567"/>
        </w:tabs>
        <w:contextualSpacing/>
        <w:jc w:val="both"/>
      </w:pPr>
      <w:r w:rsidRPr="00455E70">
        <w:t>дотации на инновационные инвестиции;</w:t>
      </w:r>
    </w:p>
    <w:p w14:paraId="62474CC0" w14:textId="77777777" w:rsidR="00B76E2C" w:rsidRPr="00455E70" w:rsidRDefault="00B76E2C" w:rsidP="00B76E2C">
      <w:pPr>
        <w:numPr>
          <w:ilvl w:val="0"/>
          <w:numId w:val="8"/>
        </w:numPr>
        <w:tabs>
          <w:tab w:val="left" w:pos="567"/>
        </w:tabs>
        <w:contextualSpacing/>
        <w:jc w:val="both"/>
      </w:pPr>
      <w:r w:rsidRPr="00455E70">
        <w:t>дотации на научно-иссле</w:t>
      </w:r>
      <w:r>
        <w:t>д</w:t>
      </w:r>
      <w:r w:rsidRPr="00455E70">
        <w:t>овательские и опытно-конструкторские работы;</w:t>
      </w:r>
    </w:p>
    <w:p w14:paraId="645849E6" w14:textId="77777777" w:rsidR="00B76E2C" w:rsidRPr="00455E70" w:rsidRDefault="00B76E2C" w:rsidP="00B76E2C">
      <w:pPr>
        <w:numPr>
          <w:ilvl w:val="0"/>
          <w:numId w:val="8"/>
        </w:numPr>
        <w:tabs>
          <w:tab w:val="left" w:pos="567"/>
        </w:tabs>
        <w:contextualSpacing/>
        <w:jc w:val="both"/>
      </w:pPr>
      <w:r w:rsidRPr="00455E70">
        <w:t>дотации на развитие деятельности предприятий;</w:t>
      </w:r>
    </w:p>
    <w:p w14:paraId="2A17E8D4" w14:textId="77777777" w:rsidR="00B76E2C" w:rsidRPr="00455E70" w:rsidRDefault="00B76E2C" w:rsidP="00B76E2C">
      <w:pPr>
        <w:numPr>
          <w:ilvl w:val="0"/>
          <w:numId w:val="8"/>
        </w:numPr>
        <w:tabs>
          <w:tab w:val="left" w:pos="567"/>
        </w:tabs>
        <w:contextualSpacing/>
        <w:jc w:val="both"/>
      </w:pPr>
      <w:r w:rsidRPr="00455E70">
        <w:t>поддержку в защите промышленной собственности;</w:t>
      </w:r>
    </w:p>
    <w:p w14:paraId="724BD28C" w14:textId="77777777" w:rsidR="00B76E2C" w:rsidRPr="00455E70" w:rsidRDefault="00B76E2C" w:rsidP="00B76E2C">
      <w:pPr>
        <w:numPr>
          <w:ilvl w:val="0"/>
          <w:numId w:val="8"/>
        </w:numPr>
        <w:tabs>
          <w:tab w:val="left" w:pos="567"/>
        </w:tabs>
        <w:contextualSpacing/>
        <w:jc w:val="both"/>
      </w:pPr>
      <w:r w:rsidRPr="00455E70">
        <w:t>поддержку в сфере промышленного дизайна;</w:t>
      </w:r>
    </w:p>
    <w:p w14:paraId="61D93447" w14:textId="77777777" w:rsidR="00B76E2C" w:rsidRPr="00455E70" w:rsidRDefault="00B76E2C" w:rsidP="00B76E2C">
      <w:pPr>
        <w:numPr>
          <w:ilvl w:val="0"/>
          <w:numId w:val="8"/>
        </w:numPr>
        <w:tabs>
          <w:tab w:val="left" w:pos="567"/>
        </w:tabs>
        <w:contextualSpacing/>
        <w:jc w:val="both"/>
      </w:pPr>
      <w:r w:rsidRPr="00455E70">
        <w:t>консалтинг и содействие в поиске внешнего финансирования;</w:t>
      </w:r>
    </w:p>
    <w:p w14:paraId="64B76587" w14:textId="77777777" w:rsidR="00B76E2C" w:rsidRPr="00455E70" w:rsidRDefault="00B76E2C" w:rsidP="00B76E2C">
      <w:pPr>
        <w:numPr>
          <w:ilvl w:val="0"/>
          <w:numId w:val="8"/>
        </w:numPr>
        <w:tabs>
          <w:tab w:val="left" w:pos="567"/>
        </w:tabs>
        <w:contextualSpacing/>
        <w:jc w:val="both"/>
      </w:pPr>
      <w:r w:rsidRPr="00455E70">
        <w:t>поддержку проектов, связанных с электронной экономикой;</w:t>
      </w:r>
    </w:p>
    <w:p w14:paraId="6ABECECC" w14:textId="77777777" w:rsidR="00B76E2C" w:rsidRPr="00455E70" w:rsidRDefault="00B76E2C" w:rsidP="00B76E2C">
      <w:pPr>
        <w:numPr>
          <w:ilvl w:val="0"/>
          <w:numId w:val="8"/>
        </w:numPr>
        <w:tabs>
          <w:tab w:val="left" w:pos="567"/>
        </w:tabs>
        <w:contextualSpacing/>
        <w:jc w:val="both"/>
      </w:pPr>
      <w:r w:rsidRPr="00455E70">
        <w:t>дотации на консалтинг в сфере вхождения предпринимателей на иностранные рынки.</w:t>
      </w:r>
    </w:p>
    <w:p w14:paraId="35105162" w14:textId="4CB66A4D" w:rsidR="00B76E2C" w:rsidRPr="00455E70" w:rsidRDefault="00B76E2C" w:rsidP="00B76E2C">
      <w:pPr>
        <w:tabs>
          <w:tab w:val="left" w:pos="567"/>
        </w:tabs>
        <w:contextualSpacing/>
        <w:jc w:val="both"/>
      </w:pPr>
      <w:r w:rsidRPr="00455E70">
        <w:tab/>
        <w:t>Банк народного хозяйства является органом по выдаче государственных гарантий для обеспечения по кредитам предпринимателей. На сегодняшний день Банк выдает порядка 9 видов гарантий по максимальной сумме кредита до €44 млн, и гарантией до 80%. За 2013-2021 годы выдано 220 тыс. гарантий на общую сумму € 47 млрд</w:t>
      </w:r>
      <w:r w:rsidR="008133FB">
        <w:t>.</w:t>
      </w:r>
    </w:p>
    <w:p w14:paraId="4E0EFE4F" w14:textId="77777777" w:rsidR="00B76E2C" w:rsidRDefault="00B76E2C" w:rsidP="00B76E2C">
      <w:pPr>
        <w:tabs>
          <w:tab w:val="left" w:pos="567"/>
        </w:tabs>
        <w:ind w:left="720"/>
        <w:contextualSpacing/>
        <w:jc w:val="both"/>
      </w:pPr>
    </w:p>
    <w:p w14:paraId="303EF125" w14:textId="77777777" w:rsidR="00B76E2C" w:rsidRPr="00455E70" w:rsidRDefault="00B76E2C" w:rsidP="00B76E2C">
      <w:pPr>
        <w:tabs>
          <w:tab w:val="left" w:pos="567"/>
        </w:tabs>
        <w:ind w:left="720"/>
        <w:contextualSpacing/>
        <w:jc w:val="both"/>
      </w:pPr>
      <w:r w:rsidRPr="00455E70">
        <w:t>Сравнение общей статистики МСП двух стран: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B76E2C" w:rsidRPr="00455E70" w14:paraId="364B4DC6" w14:textId="77777777" w:rsidTr="001F04F1">
        <w:tc>
          <w:tcPr>
            <w:tcW w:w="4927" w:type="dxa"/>
            <w:shd w:val="clear" w:color="auto" w:fill="auto"/>
          </w:tcPr>
          <w:p w14:paraId="79B5E71D" w14:textId="77777777" w:rsidR="00B76E2C" w:rsidRPr="00455E70" w:rsidRDefault="00B76E2C" w:rsidP="001F04F1">
            <w:pPr>
              <w:tabs>
                <w:tab w:val="left" w:pos="567"/>
              </w:tabs>
              <w:contextualSpacing/>
              <w:jc w:val="center"/>
              <w:rPr>
                <w:rFonts w:eastAsia="Times New Roman"/>
                <w:b/>
              </w:rPr>
            </w:pPr>
            <w:r w:rsidRPr="00455E70">
              <w:rPr>
                <w:rFonts w:eastAsia="Times New Roman"/>
                <w:b/>
              </w:rPr>
              <w:t>Польша</w:t>
            </w:r>
          </w:p>
        </w:tc>
        <w:tc>
          <w:tcPr>
            <w:tcW w:w="4928" w:type="dxa"/>
            <w:shd w:val="clear" w:color="auto" w:fill="auto"/>
          </w:tcPr>
          <w:p w14:paraId="52703919" w14:textId="77777777" w:rsidR="00B76E2C" w:rsidRPr="00455E70" w:rsidRDefault="00B76E2C" w:rsidP="001F04F1">
            <w:pPr>
              <w:tabs>
                <w:tab w:val="left" w:pos="567"/>
              </w:tabs>
              <w:contextualSpacing/>
              <w:jc w:val="center"/>
              <w:rPr>
                <w:rFonts w:eastAsia="Times New Roman"/>
                <w:b/>
              </w:rPr>
            </w:pPr>
            <w:r w:rsidRPr="00455E70">
              <w:rPr>
                <w:rFonts w:eastAsia="Times New Roman"/>
                <w:b/>
              </w:rPr>
              <w:t>Казахстан</w:t>
            </w:r>
          </w:p>
        </w:tc>
      </w:tr>
      <w:tr w:rsidR="00B76E2C" w:rsidRPr="00455E70" w14:paraId="7D7180CE" w14:textId="77777777" w:rsidTr="001F04F1">
        <w:tc>
          <w:tcPr>
            <w:tcW w:w="4927" w:type="dxa"/>
            <w:shd w:val="clear" w:color="auto" w:fill="auto"/>
          </w:tcPr>
          <w:p w14:paraId="01F368AB" w14:textId="77777777" w:rsidR="00B76E2C" w:rsidRPr="00455E70" w:rsidRDefault="00B76E2C" w:rsidP="001F04F1">
            <w:pPr>
              <w:tabs>
                <w:tab w:val="left" w:pos="567"/>
              </w:tabs>
              <w:contextualSpacing/>
              <w:jc w:val="both"/>
              <w:rPr>
                <w:rFonts w:eastAsia="Times New Roman"/>
              </w:rPr>
            </w:pPr>
            <w:r w:rsidRPr="00455E70">
              <w:t>Количество малых и средних предприятий</w:t>
            </w:r>
            <w:r w:rsidRPr="00455E70">
              <w:rPr>
                <w:rFonts w:eastAsia="Times New Roman"/>
              </w:rPr>
              <w:t xml:space="preserve"> – 2,0 млн </w:t>
            </w:r>
          </w:p>
        </w:tc>
        <w:tc>
          <w:tcPr>
            <w:tcW w:w="4928" w:type="dxa"/>
            <w:shd w:val="clear" w:color="auto" w:fill="auto"/>
          </w:tcPr>
          <w:p w14:paraId="72032363" w14:textId="77777777" w:rsidR="00B76E2C" w:rsidRPr="00455E70" w:rsidRDefault="00B76E2C" w:rsidP="001F04F1">
            <w:pPr>
              <w:tabs>
                <w:tab w:val="left" w:pos="567"/>
              </w:tabs>
              <w:contextualSpacing/>
              <w:jc w:val="both"/>
              <w:rPr>
                <w:rFonts w:eastAsia="Times New Roman"/>
              </w:rPr>
            </w:pPr>
            <w:r w:rsidRPr="00455E70">
              <w:rPr>
                <w:rFonts w:eastAsia="Times New Roman"/>
              </w:rPr>
              <w:t xml:space="preserve">Количество </w:t>
            </w:r>
            <w:r w:rsidRPr="00455E70">
              <w:t>малых и средних предприятий</w:t>
            </w:r>
            <w:r w:rsidRPr="00455E70">
              <w:rPr>
                <w:rFonts w:eastAsia="Times New Roman"/>
              </w:rPr>
              <w:t xml:space="preserve"> - 1,4 млн </w:t>
            </w:r>
          </w:p>
        </w:tc>
      </w:tr>
      <w:tr w:rsidR="00B76E2C" w:rsidRPr="00455E70" w14:paraId="6AAA2A2D" w14:textId="77777777" w:rsidTr="001F04F1">
        <w:tc>
          <w:tcPr>
            <w:tcW w:w="4927" w:type="dxa"/>
            <w:shd w:val="clear" w:color="auto" w:fill="auto"/>
          </w:tcPr>
          <w:p w14:paraId="066748B7" w14:textId="77777777" w:rsidR="00B76E2C" w:rsidRPr="00455E70" w:rsidRDefault="00B76E2C" w:rsidP="001F04F1">
            <w:pPr>
              <w:tabs>
                <w:tab w:val="left" w:pos="567"/>
              </w:tabs>
              <w:contextualSpacing/>
              <w:jc w:val="both"/>
              <w:rPr>
                <w:rFonts w:eastAsia="Times New Roman"/>
              </w:rPr>
            </w:pPr>
            <w:r w:rsidRPr="00455E70">
              <w:rPr>
                <w:rFonts w:eastAsia="Times New Roman"/>
              </w:rPr>
              <w:t>Доля МСП от общего количества СЧП – 99</w:t>
            </w:r>
            <w:r w:rsidRPr="00455E70">
              <w:rPr>
                <w:rFonts w:eastAsia="Times New Roman"/>
                <w:bCs/>
              </w:rPr>
              <w:t>%</w:t>
            </w:r>
          </w:p>
        </w:tc>
        <w:tc>
          <w:tcPr>
            <w:tcW w:w="4928" w:type="dxa"/>
            <w:shd w:val="clear" w:color="auto" w:fill="auto"/>
          </w:tcPr>
          <w:p w14:paraId="435D3AEB" w14:textId="77777777" w:rsidR="00B76E2C" w:rsidRPr="00455E70" w:rsidRDefault="00B76E2C" w:rsidP="001F04F1">
            <w:pPr>
              <w:tabs>
                <w:tab w:val="left" w:pos="567"/>
              </w:tabs>
              <w:contextualSpacing/>
              <w:jc w:val="both"/>
              <w:rPr>
                <w:rFonts w:eastAsia="Times New Roman"/>
              </w:rPr>
            </w:pPr>
            <w:r w:rsidRPr="00455E70">
              <w:rPr>
                <w:rFonts w:eastAsia="Times New Roman"/>
              </w:rPr>
              <w:t xml:space="preserve">Доля МСП от общего количества СЧП – </w:t>
            </w:r>
            <w:r w:rsidRPr="00455E70">
              <w:rPr>
                <w:rFonts w:eastAsia="Times New Roman"/>
                <w:bCs/>
              </w:rPr>
              <w:t>96%</w:t>
            </w:r>
          </w:p>
        </w:tc>
      </w:tr>
      <w:tr w:rsidR="00B76E2C" w:rsidRPr="00455E70" w14:paraId="173D3E84" w14:textId="77777777" w:rsidTr="001F04F1">
        <w:tc>
          <w:tcPr>
            <w:tcW w:w="4927" w:type="dxa"/>
            <w:shd w:val="clear" w:color="auto" w:fill="auto"/>
          </w:tcPr>
          <w:p w14:paraId="1D20F444" w14:textId="77777777" w:rsidR="00B76E2C" w:rsidRPr="00455E70" w:rsidRDefault="00B76E2C" w:rsidP="001F04F1">
            <w:pPr>
              <w:tabs>
                <w:tab w:val="left" w:pos="567"/>
              </w:tabs>
              <w:contextualSpacing/>
              <w:jc w:val="both"/>
              <w:rPr>
                <w:rFonts w:eastAsia="Times New Roman"/>
              </w:rPr>
            </w:pPr>
            <w:r w:rsidRPr="00455E70">
              <w:t>Доля населения занятых в секторе МСП</w:t>
            </w:r>
            <w:r w:rsidRPr="00455E70">
              <w:rPr>
                <w:rFonts w:eastAsia="Times New Roman"/>
              </w:rPr>
              <w:t xml:space="preserve"> – 67%</w:t>
            </w:r>
          </w:p>
        </w:tc>
        <w:tc>
          <w:tcPr>
            <w:tcW w:w="4928" w:type="dxa"/>
            <w:shd w:val="clear" w:color="auto" w:fill="auto"/>
          </w:tcPr>
          <w:p w14:paraId="1447881B" w14:textId="77777777" w:rsidR="00B76E2C" w:rsidRPr="00455E70" w:rsidRDefault="00B76E2C" w:rsidP="001F04F1">
            <w:pPr>
              <w:tabs>
                <w:tab w:val="left" w:pos="567"/>
              </w:tabs>
              <w:contextualSpacing/>
              <w:jc w:val="both"/>
              <w:rPr>
                <w:rFonts w:eastAsia="Times New Roman"/>
              </w:rPr>
            </w:pPr>
            <w:r w:rsidRPr="00455E70">
              <w:t>Доля населения занятых в секторе МСП</w:t>
            </w:r>
            <w:r w:rsidRPr="00455E70">
              <w:rPr>
                <w:rFonts w:eastAsia="Times New Roman"/>
              </w:rPr>
              <w:t xml:space="preserve"> - 38%</w:t>
            </w:r>
          </w:p>
        </w:tc>
      </w:tr>
      <w:tr w:rsidR="00B76E2C" w:rsidRPr="00230F3C" w14:paraId="5CA426E2" w14:textId="77777777" w:rsidTr="001F04F1">
        <w:tc>
          <w:tcPr>
            <w:tcW w:w="4927" w:type="dxa"/>
            <w:shd w:val="clear" w:color="auto" w:fill="auto"/>
          </w:tcPr>
          <w:p w14:paraId="2394051A" w14:textId="77777777" w:rsidR="00B76E2C" w:rsidRPr="00455E70" w:rsidRDefault="00B76E2C" w:rsidP="001F04F1">
            <w:pPr>
              <w:tabs>
                <w:tab w:val="left" w:pos="567"/>
              </w:tabs>
              <w:contextualSpacing/>
              <w:jc w:val="both"/>
              <w:rPr>
                <w:rFonts w:eastAsia="Times New Roman"/>
              </w:rPr>
            </w:pPr>
            <w:r w:rsidRPr="00455E70">
              <w:t>Доля МСП в ВВП страны</w:t>
            </w:r>
            <w:r w:rsidRPr="00455E70">
              <w:rPr>
                <w:rFonts w:eastAsia="Times New Roman"/>
              </w:rPr>
              <w:t xml:space="preserve"> – 53%</w:t>
            </w:r>
          </w:p>
        </w:tc>
        <w:tc>
          <w:tcPr>
            <w:tcW w:w="4928" w:type="dxa"/>
            <w:shd w:val="clear" w:color="auto" w:fill="auto"/>
          </w:tcPr>
          <w:p w14:paraId="0094844D" w14:textId="77777777" w:rsidR="00B76E2C" w:rsidRPr="00230F3C" w:rsidRDefault="00B76E2C" w:rsidP="001F04F1">
            <w:pPr>
              <w:tabs>
                <w:tab w:val="left" w:pos="567"/>
              </w:tabs>
              <w:contextualSpacing/>
              <w:jc w:val="both"/>
              <w:rPr>
                <w:rFonts w:eastAsia="Times New Roman"/>
              </w:rPr>
            </w:pPr>
            <w:r w:rsidRPr="00455E70">
              <w:t>Доля МСП в ВВП страны</w:t>
            </w:r>
            <w:r w:rsidRPr="00455E70">
              <w:rPr>
                <w:rFonts w:eastAsia="Times New Roman"/>
              </w:rPr>
              <w:t xml:space="preserve"> – 31%</w:t>
            </w:r>
          </w:p>
        </w:tc>
      </w:tr>
    </w:tbl>
    <w:p w14:paraId="3E538621" w14:textId="6892EBA8" w:rsidR="00014C1A" w:rsidRDefault="00014C1A">
      <w:pPr>
        <w:ind w:firstLine="426"/>
        <w:jc w:val="both"/>
      </w:pPr>
    </w:p>
    <w:p w14:paraId="27C91161" w14:textId="676780FE" w:rsidR="00014C1A" w:rsidRDefault="00003B0B">
      <w:pPr>
        <w:ind w:firstLine="426"/>
        <w:jc w:val="both"/>
      </w:pPr>
      <w:r>
        <w:t>  </w:t>
      </w:r>
    </w:p>
    <w:p w14:paraId="67AC8523" w14:textId="77777777" w:rsidR="00014C1A" w:rsidRDefault="00003B0B">
      <w:pPr>
        <w:jc w:val="center"/>
      </w:pPr>
      <w:bookmarkStart w:id="15" w:name="SUB200"/>
      <w:bookmarkEnd w:id="15"/>
      <w:r>
        <w:rPr>
          <w:rStyle w:val="s1"/>
        </w:rPr>
        <w:t>2. Миссия, видение</w:t>
      </w:r>
    </w:p>
    <w:p w14:paraId="607C73D1" w14:textId="77777777" w:rsidR="00014C1A" w:rsidRDefault="00003B0B">
      <w:pPr>
        <w:ind w:firstLine="426"/>
        <w:jc w:val="center"/>
      </w:pPr>
      <w:r>
        <w:t> </w:t>
      </w:r>
    </w:p>
    <w:p w14:paraId="21740C8B" w14:textId="77777777" w:rsidR="00014C1A" w:rsidRDefault="00003B0B">
      <w:pPr>
        <w:ind w:firstLine="426"/>
        <w:jc w:val="both"/>
      </w:pPr>
      <w:r>
        <w:t>Фондом определены следующие миссия и видение на период до 2023 года.</w:t>
      </w:r>
    </w:p>
    <w:p w14:paraId="7C11EE62" w14:textId="77777777" w:rsidR="00014C1A" w:rsidRDefault="00003B0B">
      <w:pPr>
        <w:ind w:firstLine="426"/>
        <w:jc w:val="both"/>
      </w:pPr>
      <w:r>
        <w:rPr>
          <w:b/>
          <w:bCs/>
          <w:u w:val="single"/>
        </w:rPr>
        <w:t>Миссия</w:t>
      </w:r>
    </w:p>
    <w:p w14:paraId="56F32727" w14:textId="77777777" w:rsidR="00014C1A" w:rsidRDefault="00003B0B">
      <w:pPr>
        <w:ind w:firstLine="426"/>
        <w:jc w:val="both"/>
      </w:pPr>
      <w:r>
        <w:t>Миссией Фонда является активная роль в устойчивом развитии микро, малого и среднего предпринимательства (ММСП) в Казахстане, посредством реализации комплексных и эффективных инструментов поддержки.</w:t>
      </w:r>
    </w:p>
    <w:p w14:paraId="4931DF41" w14:textId="77777777" w:rsidR="00014C1A" w:rsidRDefault="00003B0B">
      <w:pPr>
        <w:ind w:firstLine="426"/>
        <w:jc w:val="both"/>
      </w:pPr>
      <w:r>
        <w:rPr>
          <w:b/>
          <w:bCs/>
          <w:u w:val="single"/>
        </w:rPr>
        <w:t>Видение</w:t>
      </w:r>
    </w:p>
    <w:p w14:paraId="194EA385" w14:textId="77777777" w:rsidR="00014C1A" w:rsidRDefault="00003B0B">
      <w:pPr>
        <w:ind w:firstLine="426"/>
        <w:jc w:val="both"/>
      </w:pPr>
      <w:r>
        <w:t>Видение Фонда к 2023 году - национальный институт развития - инициатор и реализатор программ по поддержке и развитию ММСП.</w:t>
      </w:r>
    </w:p>
    <w:p w14:paraId="78E3F629" w14:textId="77777777" w:rsidR="00014C1A" w:rsidRDefault="00003B0B">
      <w:pPr>
        <w:ind w:firstLine="426"/>
        <w:jc w:val="both"/>
      </w:pPr>
      <w:r>
        <w:t> </w:t>
      </w:r>
    </w:p>
    <w:p w14:paraId="5C6782B9" w14:textId="11E0EA00" w:rsidR="00014C1A" w:rsidRDefault="00003B0B">
      <w:pPr>
        <w:ind w:firstLine="426"/>
        <w:jc w:val="both"/>
      </w:pPr>
      <w:r>
        <w:t> </w:t>
      </w:r>
    </w:p>
    <w:p w14:paraId="0A0EC88E" w14:textId="51024920" w:rsidR="00014C1A" w:rsidRDefault="00003B0B">
      <w:pPr>
        <w:jc w:val="center"/>
      </w:pPr>
      <w:bookmarkStart w:id="16" w:name="SUB300"/>
      <w:bookmarkEnd w:id="16"/>
      <w:r>
        <w:rPr>
          <w:rStyle w:val="s1"/>
        </w:rPr>
        <w:t>3. Стратегические направления развития Фонда</w:t>
      </w:r>
    </w:p>
    <w:p w14:paraId="74309ECA" w14:textId="77777777" w:rsidR="00014C1A" w:rsidRDefault="00003B0B">
      <w:pPr>
        <w:ind w:firstLine="426"/>
        <w:jc w:val="center"/>
      </w:pPr>
      <w:r>
        <w:t> </w:t>
      </w:r>
    </w:p>
    <w:p w14:paraId="084895DC" w14:textId="77777777" w:rsidR="00014C1A" w:rsidRDefault="00003B0B">
      <w:pPr>
        <w:ind w:firstLine="426"/>
        <w:jc w:val="both"/>
      </w:pPr>
      <w:r>
        <w:t>В целях реализации своей миссии и видения, Фонд «Даму» будет проводить работу по двум ключевым стратегическим направлениям развития:</w:t>
      </w:r>
    </w:p>
    <w:p w14:paraId="63A9D0BE" w14:textId="77777777" w:rsidR="00014C1A" w:rsidRDefault="00003B0B">
      <w:pPr>
        <w:ind w:firstLine="426"/>
        <w:jc w:val="both"/>
      </w:pPr>
      <w:r>
        <w:t>1. Поддержка и развитие начинающих и действующих предпринимателей.</w:t>
      </w:r>
    </w:p>
    <w:p w14:paraId="04B9EF3B" w14:textId="77777777" w:rsidR="00014C1A" w:rsidRDefault="00003B0B">
      <w:pPr>
        <w:ind w:firstLine="426"/>
        <w:jc w:val="both"/>
      </w:pPr>
      <w:r>
        <w:t>2. Устойчивое институциональное развитие Фонда.</w:t>
      </w:r>
    </w:p>
    <w:p w14:paraId="6C1B549E" w14:textId="77777777" w:rsidR="00014C1A" w:rsidRDefault="00003B0B">
      <w:pPr>
        <w:ind w:firstLine="426"/>
        <w:jc w:val="both"/>
      </w:pPr>
      <w:r>
        <w:t> </w:t>
      </w:r>
    </w:p>
    <w:tbl>
      <w:tblPr>
        <w:tblW w:w="9356" w:type="dxa"/>
        <w:tblInd w:w="-10" w:type="dxa"/>
        <w:tblCellMar>
          <w:left w:w="0" w:type="dxa"/>
          <w:right w:w="0" w:type="dxa"/>
        </w:tblCellMar>
        <w:tblLook w:val="04A0" w:firstRow="1" w:lastRow="0" w:firstColumn="1" w:lastColumn="0" w:noHBand="0" w:noVBand="1"/>
      </w:tblPr>
      <w:tblGrid>
        <w:gridCol w:w="441"/>
        <w:gridCol w:w="4237"/>
        <w:gridCol w:w="4678"/>
      </w:tblGrid>
      <w:tr w:rsidR="00014C1A" w14:paraId="15BC1AD2" w14:textId="77777777" w:rsidTr="00F75B35">
        <w:trPr>
          <w:trHeight w:val="20"/>
        </w:trPr>
        <w:tc>
          <w:tcPr>
            <w:tcW w:w="441"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14:paraId="6F8A155A" w14:textId="77777777" w:rsidR="00014C1A" w:rsidRDefault="00003B0B">
            <w:pPr>
              <w:jc w:val="center"/>
            </w:pPr>
            <w:r>
              <w:rPr>
                <w:b/>
                <w:bCs/>
              </w:rPr>
              <w:t>№</w:t>
            </w:r>
          </w:p>
        </w:tc>
        <w:tc>
          <w:tcPr>
            <w:tcW w:w="4237"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1F620386" w14:textId="77777777" w:rsidR="00014C1A" w:rsidRDefault="00003B0B">
            <w:pPr>
              <w:jc w:val="center"/>
            </w:pPr>
            <w:r>
              <w:rPr>
                <w:b/>
                <w:bCs/>
              </w:rPr>
              <w:t>Стратегические направления</w:t>
            </w:r>
          </w:p>
        </w:tc>
        <w:tc>
          <w:tcPr>
            <w:tcW w:w="4678"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0E2DFFD4" w14:textId="77777777" w:rsidR="00014C1A" w:rsidRDefault="00003B0B">
            <w:pPr>
              <w:jc w:val="center"/>
            </w:pPr>
            <w:r>
              <w:rPr>
                <w:b/>
                <w:bCs/>
              </w:rPr>
              <w:t>Стратегические задачи</w:t>
            </w:r>
          </w:p>
        </w:tc>
      </w:tr>
      <w:tr w:rsidR="00014C1A" w14:paraId="510EE03E" w14:textId="77777777" w:rsidTr="00F75B35">
        <w:trPr>
          <w:trHeight w:val="20"/>
        </w:trPr>
        <w:tc>
          <w:tcPr>
            <w:tcW w:w="441"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6C5DA39B" w14:textId="77777777" w:rsidR="00014C1A" w:rsidRDefault="00003B0B">
            <w:pPr>
              <w:jc w:val="both"/>
            </w:pPr>
            <w:r>
              <w:lastRenderedPageBreak/>
              <w:t>1</w:t>
            </w:r>
          </w:p>
        </w:tc>
        <w:tc>
          <w:tcPr>
            <w:tcW w:w="4237" w:type="dxa"/>
            <w:vMerge w:val="restart"/>
            <w:tcBorders>
              <w:top w:val="nil"/>
              <w:left w:val="nil"/>
              <w:bottom w:val="single" w:sz="8" w:space="0" w:color="auto"/>
              <w:right w:val="single" w:sz="8" w:space="0" w:color="auto"/>
            </w:tcBorders>
            <w:tcMar>
              <w:top w:w="0" w:type="dxa"/>
              <w:left w:w="40" w:type="dxa"/>
              <w:bottom w:w="0" w:type="dxa"/>
              <w:right w:w="40" w:type="dxa"/>
            </w:tcMar>
            <w:hideMark/>
          </w:tcPr>
          <w:p w14:paraId="5F5A6FC9" w14:textId="77777777" w:rsidR="00014C1A" w:rsidRDefault="00003B0B">
            <w:pPr>
              <w:jc w:val="both"/>
            </w:pPr>
            <w:r>
              <w:t>Поддержка и развитие начинающих и действующих предпринимателей</w:t>
            </w:r>
          </w:p>
        </w:tc>
        <w:tc>
          <w:tcPr>
            <w:tcW w:w="4678" w:type="dxa"/>
            <w:tcBorders>
              <w:top w:val="nil"/>
              <w:left w:val="nil"/>
              <w:bottom w:val="single" w:sz="8" w:space="0" w:color="auto"/>
              <w:right w:val="single" w:sz="8" w:space="0" w:color="auto"/>
            </w:tcBorders>
            <w:tcMar>
              <w:top w:w="0" w:type="dxa"/>
              <w:left w:w="40" w:type="dxa"/>
              <w:bottom w:w="0" w:type="dxa"/>
              <w:right w:w="40" w:type="dxa"/>
            </w:tcMar>
            <w:hideMark/>
          </w:tcPr>
          <w:p w14:paraId="2B7F633D" w14:textId="77777777" w:rsidR="00014C1A" w:rsidRDefault="00003B0B">
            <w:r>
              <w:t>Расширение кредитования микробизнеса, разработка и реализация инструментов поддержки МФО и кредитных товариществ</w:t>
            </w:r>
          </w:p>
        </w:tc>
      </w:tr>
      <w:tr w:rsidR="00014C1A" w14:paraId="46144A90" w14:textId="77777777" w:rsidTr="00F75B35">
        <w:trPr>
          <w:trHeight w:val="20"/>
        </w:trPr>
        <w:tc>
          <w:tcPr>
            <w:tcW w:w="0" w:type="auto"/>
            <w:vMerge/>
            <w:tcBorders>
              <w:top w:val="nil"/>
              <w:left w:val="single" w:sz="8" w:space="0" w:color="auto"/>
              <w:bottom w:val="single" w:sz="8" w:space="0" w:color="auto"/>
              <w:right w:val="single" w:sz="8" w:space="0" w:color="auto"/>
            </w:tcBorders>
            <w:vAlign w:val="center"/>
            <w:hideMark/>
          </w:tcPr>
          <w:p w14:paraId="42BD967F" w14:textId="77777777" w:rsidR="00014C1A" w:rsidRDefault="00014C1A"/>
        </w:tc>
        <w:tc>
          <w:tcPr>
            <w:tcW w:w="4237" w:type="dxa"/>
            <w:vMerge/>
            <w:tcBorders>
              <w:top w:val="nil"/>
              <w:left w:val="nil"/>
              <w:bottom w:val="single" w:sz="8" w:space="0" w:color="auto"/>
              <w:right w:val="single" w:sz="8" w:space="0" w:color="auto"/>
            </w:tcBorders>
            <w:vAlign w:val="center"/>
            <w:hideMark/>
          </w:tcPr>
          <w:p w14:paraId="7E435628" w14:textId="77777777" w:rsidR="00014C1A" w:rsidRDefault="00014C1A"/>
        </w:tc>
        <w:tc>
          <w:tcPr>
            <w:tcW w:w="4678" w:type="dxa"/>
            <w:tcBorders>
              <w:top w:val="nil"/>
              <w:left w:val="nil"/>
              <w:bottom w:val="single" w:sz="8" w:space="0" w:color="auto"/>
              <w:right w:val="single" w:sz="8" w:space="0" w:color="auto"/>
            </w:tcBorders>
            <w:tcMar>
              <w:top w:w="0" w:type="dxa"/>
              <w:left w:w="40" w:type="dxa"/>
              <w:bottom w:w="0" w:type="dxa"/>
              <w:right w:w="40" w:type="dxa"/>
            </w:tcMar>
            <w:hideMark/>
          </w:tcPr>
          <w:p w14:paraId="784D3C6E" w14:textId="77777777" w:rsidR="00014C1A" w:rsidRDefault="00003B0B">
            <w:r>
              <w:t>Увеличение доли охвата действующих ММСП финансовыми программами Фонда</w:t>
            </w:r>
          </w:p>
        </w:tc>
      </w:tr>
      <w:tr w:rsidR="00014C1A" w14:paraId="61935AFF" w14:textId="77777777" w:rsidTr="00F75B35">
        <w:trPr>
          <w:trHeight w:val="20"/>
        </w:trPr>
        <w:tc>
          <w:tcPr>
            <w:tcW w:w="0" w:type="auto"/>
            <w:vMerge/>
            <w:tcBorders>
              <w:top w:val="nil"/>
              <w:left w:val="single" w:sz="8" w:space="0" w:color="auto"/>
              <w:bottom w:val="single" w:sz="8" w:space="0" w:color="auto"/>
              <w:right w:val="single" w:sz="8" w:space="0" w:color="auto"/>
            </w:tcBorders>
            <w:vAlign w:val="center"/>
            <w:hideMark/>
          </w:tcPr>
          <w:p w14:paraId="137D40DF" w14:textId="77777777" w:rsidR="00014C1A" w:rsidRDefault="00014C1A"/>
        </w:tc>
        <w:tc>
          <w:tcPr>
            <w:tcW w:w="4237" w:type="dxa"/>
            <w:vMerge/>
            <w:tcBorders>
              <w:top w:val="nil"/>
              <w:left w:val="nil"/>
              <w:bottom w:val="single" w:sz="8" w:space="0" w:color="auto"/>
              <w:right w:val="single" w:sz="8" w:space="0" w:color="auto"/>
            </w:tcBorders>
            <w:vAlign w:val="center"/>
            <w:hideMark/>
          </w:tcPr>
          <w:p w14:paraId="472E5439" w14:textId="77777777" w:rsidR="00014C1A" w:rsidRDefault="00014C1A"/>
        </w:tc>
        <w:tc>
          <w:tcPr>
            <w:tcW w:w="4678" w:type="dxa"/>
            <w:tcBorders>
              <w:top w:val="nil"/>
              <w:left w:val="nil"/>
              <w:bottom w:val="single" w:sz="8" w:space="0" w:color="auto"/>
              <w:right w:val="single" w:sz="8" w:space="0" w:color="auto"/>
            </w:tcBorders>
            <w:tcMar>
              <w:top w:w="0" w:type="dxa"/>
              <w:left w:w="40" w:type="dxa"/>
              <w:bottom w:w="0" w:type="dxa"/>
              <w:right w:w="40" w:type="dxa"/>
            </w:tcMar>
            <w:hideMark/>
          </w:tcPr>
          <w:p w14:paraId="5761E4CC" w14:textId="77777777" w:rsidR="00014C1A" w:rsidRDefault="00003B0B">
            <w:r>
              <w:t>Повышения экономической эффективности поддерживаемых предприятий ММСП</w:t>
            </w:r>
          </w:p>
        </w:tc>
      </w:tr>
      <w:tr w:rsidR="00014C1A" w14:paraId="1DE29714" w14:textId="77777777" w:rsidTr="00F75B35">
        <w:trPr>
          <w:trHeight w:val="20"/>
        </w:trPr>
        <w:tc>
          <w:tcPr>
            <w:tcW w:w="441"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6D16D043" w14:textId="77777777" w:rsidR="00014C1A" w:rsidRDefault="00003B0B">
            <w:pPr>
              <w:jc w:val="both"/>
            </w:pPr>
            <w:r>
              <w:t>2</w:t>
            </w:r>
          </w:p>
          <w:p w14:paraId="1F407C33" w14:textId="77777777" w:rsidR="00014C1A" w:rsidRDefault="00003B0B">
            <w:pPr>
              <w:jc w:val="both"/>
            </w:pPr>
            <w:r>
              <w:t> </w:t>
            </w:r>
          </w:p>
          <w:p w14:paraId="07E96CB3" w14:textId="77777777" w:rsidR="00014C1A" w:rsidRDefault="00003B0B">
            <w:pPr>
              <w:jc w:val="both"/>
            </w:pPr>
            <w:r>
              <w:t> </w:t>
            </w:r>
          </w:p>
        </w:tc>
        <w:tc>
          <w:tcPr>
            <w:tcW w:w="4237" w:type="dxa"/>
            <w:vMerge w:val="restart"/>
            <w:tcBorders>
              <w:top w:val="nil"/>
              <w:left w:val="nil"/>
              <w:bottom w:val="single" w:sz="8" w:space="0" w:color="auto"/>
              <w:right w:val="single" w:sz="8" w:space="0" w:color="auto"/>
            </w:tcBorders>
            <w:tcMar>
              <w:top w:w="0" w:type="dxa"/>
              <w:left w:w="40" w:type="dxa"/>
              <w:bottom w:w="0" w:type="dxa"/>
              <w:right w:w="40" w:type="dxa"/>
            </w:tcMar>
            <w:hideMark/>
          </w:tcPr>
          <w:p w14:paraId="20FBBD09" w14:textId="77777777" w:rsidR="00014C1A" w:rsidRDefault="00003B0B">
            <w:pPr>
              <w:jc w:val="both"/>
            </w:pPr>
            <w:r>
              <w:t>Устойчивое институциональное развитие Фонда</w:t>
            </w:r>
          </w:p>
          <w:p w14:paraId="748FC9F9" w14:textId="77777777" w:rsidR="00014C1A" w:rsidRDefault="00003B0B">
            <w:pPr>
              <w:jc w:val="both"/>
            </w:pPr>
            <w:r>
              <w:t> </w:t>
            </w:r>
          </w:p>
          <w:p w14:paraId="4B444F24" w14:textId="77777777" w:rsidR="00014C1A" w:rsidRDefault="00003B0B">
            <w:pPr>
              <w:jc w:val="both"/>
            </w:pPr>
            <w:r>
              <w:t> </w:t>
            </w:r>
          </w:p>
        </w:tc>
        <w:tc>
          <w:tcPr>
            <w:tcW w:w="4678" w:type="dxa"/>
            <w:tcBorders>
              <w:top w:val="nil"/>
              <w:left w:val="nil"/>
              <w:bottom w:val="single" w:sz="8" w:space="0" w:color="auto"/>
              <w:right w:val="single" w:sz="8" w:space="0" w:color="auto"/>
            </w:tcBorders>
            <w:tcMar>
              <w:top w:w="0" w:type="dxa"/>
              <w:left w:w="40" w:type="dxa"/>
              <w:bottom w:w="0" w:type="dxa"/>
              <w:right w:w="40" w:type="dxa"/>
            </w:tcMar>
            <w:hideMark/>
          </w:tcPr>
          <w:p w14:paraId="169CF152" w14:textId="77777777" w:rsidR="00014C1A" w:rsidRDefault="00003B0B">
            <w:r>
              <w:t>Привлечение средств дополнительных источников финансирования</w:t>
            </w:r>
          </w:p>
        </w:tc>
      </w:tr>
      <w:tr w:rsidR="00014C1A" w14:paraId="63D8684F" w14:textId="77777777" w:rsidTr="00F75B35">
        <w:trPr>
          <w:trHeight w:val="20"/>
        </w:trPr>
        <w:tc>
          <w:tcPr>
            <w:tcW w:w="0" w:type="auto"/>
            <w:vMerge/>
            <w:tcBorders>
              <w:top w:val="nil"/>
              <w:left w:val="single" w:sz="8" w:space="0" w:color="auto"/>
              <w:bottom w:val="single" w:sz="8" w:space="0" w:color="auto"/>
              <w:right w:val="single" w:sz="8" w:space="0" w:color="auto"/>
            </w:tcBorders>
            <w:vAlign w:val="center"/>
            <w:hideMark/>
          </w:tcPr>
          <w:p w14:paraId="18CAAE43" w14:textId="77777777" w:rsidR="00014C1A" w:rsidRDefault="00014C1A"/>
        </w:tc>
        <w:tc>
          <w:tcPr>
            <w:tcW w:w="4237" w:type="dxa"/>
            <w:vMerge/>
            <w:tcBorders>
              <w:top w:val="nil"/>
              <w:left w:val="nil"/>
              <w:bottom w:val="single" w:sz="8" w:space="0" w:color="auto"/>
              <w:right w:val="single" w:sz="8" w:space="0" w:color="auto"/>
            </w:tcBorders>
            <w:vAlign w:val="center"/>
            <w:hideMark/>
          </w:tcPr>
          <w:p w14:paraId="328C0B92" w14:textId="77777777" w:rsidR="00014C1A" w:rsidRDefault="00014C1A"/>
        </w:tc>
        <w:tc>
          <w:tcPr>
            <w:tcW w:w="4678" w:type="dxa"/>
            <w:tcBorders>
              <w:top w:val="nil"/>
              <w:left w:val="nil"/>
              <w:bottom w:val="single" w:sz="8" w:space="0" w:color="auto"/>
              <w:right w:val="single" w:sz="8" w:space="0" w:color="auto"/>
            </w:tcBorders>
            <w:tcMar>
              <w:top w:w="0" w:type="dxa"/>
              <w:left w:w="40" w:type="dxa"/>
              <w:bottom w:w="0" w:type="dxa"/>
              <w:right w:w="40" w:type="dxa"/>
            </w:tcMar>
            <w:hideMark/>
          </w:tcPr>
          <w:p w14:paraId="41A4A19A" w14:textId="77777777" w:rsidR="00014C1A" w:rsidRDefault="00003B0B">
            <w:r>
              <w:t>Достижение запланированного уровня финансовых результатов деятельности</w:t>
            </w:r>
          </w:p>
        </w:tc>
      </w:tr>
      <w:tr w:rsidR="00014C1A" w14:paraId="71DEA701" w14:textId="77777777" w:rsidTr="00F75B35">
        <w:trPr>
          <w:trHeight w:val="20"/>
        </w:trPr>
        <w:tc>
          <w:tcPr>
            <w:tcW w:w="0" w:type="auto"/>
            <w:vMerge/>
            <w:tcBorders>
              <w:top w:val="nil"/>
              <w:left w:val="single" w:sz="8" w:space="0" w:color="auto"/>
              <w:bottom w:val="single" w:sz="8" w:space="0" w:color="auto"/>
              <w:right w:val="single" w:sz="8" w:space="0" w:color="auto"/>
            </w:tcBorders>
            <w:vAlign w:val="center"/>
            <w:hideMark/>
          </w:tcPr>
          <w:p w14:paraId="002696F7" w14:textId="77777777" w:rsidR="00014C1A" w:rsidRDefault="00014C1A"/>
        </w:tc>
        <w:tc>
          <w:tcPr>
            <w:tcW w:w="4237" w:type="dxa"/>
            <w:vMerge/>
            <w:tcBorders>
              <w:top w:val="nil"/>
              <w:left w:val="nil"/>
              <w:bottom w:val="single" w:sz="8" w:space="0" w:color="auto"/>
              <w:right w:val="single" w:sz="8" w:space="0" w:color="auto"/>
            </w:tcBorders>
            <w:vAlign w:val="center"/>
            <w:hideMark/>
          </w:tcPr>
          <w:p w14:paraId="637A234C" w14:textId="77777777" w:rsidR="00014C1A" w:rsidRDefault="00014C1A"/>
        </w:tc>
        <w:tc>
          <w:tcPr>
            <w:tcW w:w="4678" w:type="dxa"/>
            <w:tcBorders>
              <w:top w:val="nil"/>
              <w:left w:val="nil"/>
              <w:bottom w:val="single" w:sz="8" w:space="0" w:color="auto"/>
              <w:right w:val="single" w:sz="8" w:space="0" w:color="auto"/>
            </w:tcBorders>
            <w:tcMar>
              <w:top w:w="0" w:type="dxa"/>
              <w:left w:w="40" w:type="dxa"/>
              <w:bottom w:w="0" w:type="dxa"/>
              <w:right w:w="40" w:type="dxa"/>
            </w:tcMar>
            <w:hideMark/>
          </w:tcPr>
          <w:p w14:paraId="5FA902D6" w14:textId="77777777" w:rsidR="00014C1A" w:rsidRDefault="00003B0B">
            <w:r>
              <w:t>Автоматизация бизнес процессов</w:t>
            </w:r>
          </w:p>
        </w:tc>
      </w:tr>
      <w:tr w:rsidR="00014C1A" w14:paraId="0D0ED63F" w14:textId="77777777" w:rsidTr="00F75B35">
        <w:trPr>
          <w:trHeight w:val="20"/>
        </w:trPr>
        <w:tc>
          <w:tcPr>
            <w:tcW w:w="0" w:type="auto"/>
            <w:vMerge/>
            <w:tcBorders>
              <w:top w:val="nil"/>
              <w:left w:val="single" w:sz="8" w:space="0" w:color="auto"/>
              <w:bottom w:val="single" w:sz="8" w:space="0" w:color="auto"/>
              <w:right w:val="single" w:sz="8" w:space="0" w:color="auto"/>
            </w:tcBorders>
            <w:vAlign w:val="center"/>
            <w:hideMark/>
          </w:tcPr>
          <w:p w14:paraId="05B9B459" w14:textId="77777777" w:rsidR="00014C1A" w:rsidRDefault="00014C1A"/>
        </w:tc>
        <w:tc>
          <w:tcPr>
            <w:tcW w:w="4237" w:type="dxa"/>
            <w:vMerge/>
            <w:tcBorders>
              <w:top w:val="nil"/>
              <w:left w:val="nil"/>
              <w:bottom w:val="single" w:sz="8" w:space="0" w:color="auto"/>
              <w:right w:val="single" w:sz="8" w:space="0" w:color="auto"/>
            </w:tcBorders>
            <w:vAlign w:val="center"/>
            <w:hideMark/>
          </w:tcPr>
          <w:p w14:paraId="40486BDC" w14:textId="77777777" w:rsidR="00014C1A" w:rsidRDefault="00014C1A"/>
        </w:tc>
        <w:tc>
          <w:tcPr>
            <w:tcW w:w="4678" w:type="dxa"/>
            <w:tcBorders>
              <w:top w:val="nil"/>
              <w:left w:val="nil"/>
              <w:bottom w:val="single" w:sz="8" w:space="0" w:color="auto"/>
              <w:right w:val="single" w:sz="8" w:space="0" w:color="auto"/>
            </w:tcBorders>
            <w:tcMar>
              <w:top w:w="0" w:type="dxa"/>
              <w:left w:w="40" w:type="dxa"/>
              <w:bottom w:w="0" w:type="dxa"/>
              <w:right w:w="40" w:type="dxa"/>
            </w:tcMar>
            <w:hideMark/>
          </w:tcPr>
          <w:p w14:paraId="355EB33C" w14:textId="77777777" w:rsidR="00014C1A" w:rsidRDefault="00003B0B">
            <w:r>
              <w:t>Повышение уровня корпоративного управления</w:t>
            </w:r>
          </w:p>
        </w:tc>
      </w:tr>
    </w:tbl>
    <w:p w14:paraId="0D3DF360" w14:textId="77777777" w:rsidR="00014C1A" w:rsidRDefault="00003B0B">
      <w:pPr>
        <w:ind w:firstLine="426"/>
        <w:jc w:val="both"/>
      </w:pPr>
      <w:r>
        <w:rPr>
          <w:b/>
          <w:bCs/>
        </w:rPr>
        <w:t> </w:t>
      </w:r>
    </w:p>
    <w:p w14:paraId="1CAE5E1A" w14:textId="77777777" w:rsidR="00014C1A" w:rsidRDefault="00003B0B">
      <w:pPr>
        <w:ind w:firstLine="426"/>
        <w:jc w:val="both"/>
      </w:pPr>
      <w:bookmarkStart w:id="17" w:name="SUB30100"/>
      <w:bookmarkEnd w:id="17"/>
      <w:r>
        <w:rPr>
          <w:b/>
          <w:bCs/>
        </w:rPr>
        <w:t>3.1. Поддержка и развитие начинающих и действующих предпринимателей</w:t>
      </w:r>
    </w:p>
    <w:p w14:paraId="685CD612" w14:textId="77777777" w:rsidR="00014C1A" w:rsidRDefault="00003B0B">
      <w:pPr>
        <w:ind w:firstLine="426"/>
        <w:jc w:val="both"/>
      </w:pPr>
      <w:bookmarkStart w:id="18" w:name="SUB3010100"/>
      <w:bookmarkEnd w:id="18"/>
      <w:r>
        <w:rPr>
          <w:b/>
          <w:bCs/>
        </w:rPr>
        <w:t>3.1.1. Расширение кредитования микро-бизнеса, разработка и реализация инструментов поддержки МФО и кредитных товариществ</w:t>
      </w:r>
    </w:p>
    <w:p w14:paraId="4C8D6D72" w14:textId="77777777" w:rsidR="00014C1A" w:rsidRDefault="00003B0B">
      <w:pPr>
        <w:ind w:firstLine="426"/>
        <w:jc w:val="both"/>
      </w:pPr>
      <w:r>
        <w:t>Сектор микрофинансирования является одним из наиболее динамично развивающихся секторов в Казахстане. Микрофинансовые организации (далее - МФО) являются востребованным источником финансирования для субъектов микро и малого бизнеса. Потенциально МФО могут занимать нишу на рынке кредитования, не охваченную БВУ, в т.ч. кредитование в сельской местности. Услугами микрофинансирования охвачены все регионы страны. Тем не менее, в микрофинансовом секторе существует ряд проблем, связанных с высокой процентной ставкой, доступностью кредитных ресурсов, платежеспособностью заемщиков и др. На решение вышеуказанных проблем должны быть направлены соответствующие меры со стороны государства.</w:t>
      </w:r>
    </w:p>
    <w:p w14:paraId="68AC8062" w14:textId="77777777" w:rsidR="00014C1A" w:rsidRDefault="00003B0B">
      <w:pPr>
        <w:ind w:firstLine="426"/>
        <w:jc w:val="both"/>
      </w:pPr>
      <w:r>
        <w:t>Одной наиболее заметной особенностью сектора микрофинансирования в Казахстане является относительно высокая процентная ставка по микрокредитам, вызванная многократным преобладанием спроса на кредиты над их предложением. При этом, значительная часть спроса является «вынужденным». Ограничение предложения связано с барьерами в доступе к привлечению заемного капитала. Наиболее эффективным шагом, способным решить ряд существующих проблем в микрофинансовом секторе, и высокую стоимость кредитов, является уравновешивание спроса и предложения. Важным в этом направлении является расширение кредитования микро-бизнеса, разработка и реализация инструментов поддержки МФО и кредитных товариществ.</w:t>
      </w:r>
    </w:p>
    <w:p w14:paraId="3CC624DD" w14:textId="77777777" w:rsidR="00014C1A" w:rsidRDefault="00003B0B">
      <w:pPr>
        <w:ind w:firstLine="426"/>
        <w:jc w:val="both"/>
      </w:pPr>
      <w:r>
        <w:t>Деятельность данного направления Фонда будет сконцентрирована, на привлечение внешних заимствований для последующего кредитования микрофинансового сектора и кредитных товариществ, а также на поиске стратегических партнёров по направлению оказания профессиональной экспертной консультационной поддержки потенциальным микрофинансовым организациям - будущим заемщикам по программам Фонда.</w:t>
      </w:r>
    </w:p>
    <w:p w14:paraId="18811664" w14:textId="77777777" w:rsidR="00014C1A" w:rsidRDefault="00003B0B">
      <w:pPr>
        <w:ind w:firstLine="426"/>
        <w:jc w:val="both"/>
      </w:pPr>
      <w:r>
        <w:t>Таким образом, с появлением данных механизмов будет заполнен существенный рынок, и микрофинансовые организации, которые ранее, ввиду отсутствия кредитной истории и незначительности оборота, либо других ограничивающих факторов, испытывали трудности с пополнением оборотных средств, получат доступ к необходимому финансированию, что позволит им в значительной мере увеличить свой кредитный портфель и расширить охват предпринимателей.</w:t>
      </w:r>
    </w:p>
    <w:p w14:paraId="2B44C795" w14:textId="188BBE56" w:rsidR="00014C1A" w:rsidRDefault="00014C1A">
      <w:pPr>
        <w:ind w:firstLine="426"/>
        <w:jc w:val="both"/>
      </w:pPr>
    </w:p>
    <w:p w14:paraId="1F467D5E" w14:textId="47D84134" w:rsidR="00C46508" w:rsidRPr="00EC6B6B" w:rsidRDefault="00C46508">
      <w:pPr>
        <w:ind w:firstLine="426"/>
        <w:jc w:val="both"/>
        <w:rPr>
          <w:color w:val="auto"/>
        </w:rPr>
      </w:pPr>
      <w:r w:rsidRPr="00EC6B6B">
        <w:rPr>
          <w:color w:val="auto"/>
        </w:rPr>
        <w:t>Фонд через микрофинансовые организации продолжит осуществлять поддержку микро-, малого бизнеса посредством апексных механизмов, а также автоматизировать бизнес-процессы по привлечению и размещению средств.</w:t>
      </w:r>
    </w:p>
    <w:p w14:paraId="08A95D06" w14:textId="77777777" w:rsidR="00014C1A" w:rsidRDefault="00003B0B">
      <w:pPr>
        <w:ind w:firstLine="426"/>
        <w:jc w:val="both"/>
      </w:pPr>
      <w:r>
        <w:lastRenderedPageBreak/>
        <w:t>Результаты данной работы Фонда будут измеряться следующими КПД:</w:t>
      </w:r>
    </w:p>
    <w:p w14:paraId="64626401" w14:textId="0885DFDE" w:rsidR="00014C1A" w:rsidRDefault="00003B0B">
      <w:pPr>
        <w:ind w:firstLine="426"/>
        <w:jc w:val="both"/>
      </w:pPr>
      <w:r>
        <w:t xml:space="preserve">- Доля </w:t>
      </w:r>
      <w:r w:rsidR="00B47657" w:rsidRPr="00B47657">
        <w:t>обусловленного размещения средств Микрофинансовым организациям и Лизинговым компаниям</w:t>
      </w:r>
      <w:r>
        <w:t xml:space="preserve"> к 2023 году </w:t>
      </w:r>
      <w:r w:rsidRPr="002B5711">
        <w:t xml:space="preserve">составит </w:t>
      </w:r>
      <w:r w:rsidR="00051938">
        <w:t>55</w:t>
      </w:r>
      <w:r>
        <w:t>%.</w:t>
      </w:r>
    </w:p>
    <w:p w14:paraId="2DA35660" w14:textId="33C15E67" w:rsidR="00014C1A" w:rsidRDefault="00003B0B">
      <w:pPr>
        <w:ind w:firstLine="426"/>
        <w:jc w:val="both"/>
      </w:pPr>
      <w:r>
        <w:t xml:space="preserve">- Доля микро и малых предпринимателей от общего числа поддержанных предпринимателей </w:t>
      </w:r>
      <w:r w:rsidRPr="002B5711">
        <w:t>8</w:t>
      </w:r>
      <w:r w:rsidR="002B5711">
        <w:t>7</w:t>
      </w:r>
      <w:r w:rsidRPr="002B5711">
        <w:t>,</w:t>
      </w:r>
      <w:r w:rsidR="002B5711">
        <w:t>8</w:t>
      </w:r>
      <w:r w:rsidRPr="002B5711">
        <w:t xml:space="preserve">% к 2023 </w:t>
      </w:r>
      <w:r w:rsidRPr="00483425">
        <w:t>году.</w:t>
      </w:r>
    </w:p>
    <w:p w14:paraId="7625E0E9" w14:textId="77777777" w:rsidR="00C46508" w:rsidRDefault="00C46508">
      <w:pPr>
        <w:ind w:firstLine="426"/>
        <w:jc w:val="both"/>
      </w:pPr>
    </w:p>
    <w:p w14:paraId="6E357CCF" w14:textId="77777777" w:rsidR="00014C1A" w:rsidRDefault="00003B0B">
      <w:pPr>
        <w:ind w:firstLine="426"/>
        <w:jc w:val="both"/>
      </w:pPr>
      <w:bookmarkStart w:id="19" w:name="SUB3010200"/>
      <w:bookmarkEnd w:id="19"/>
      <w:r>
        <w:rPr>
          <w:b/>
          <w:bCs/>
        </w:rPr>
        <w:t>3.1.2. Увеличение доли охвата действующих ММСП финансовыми программами Фонда</w:t>
      </w:r>
    </w:p>
    <w:p w14:paraId="15020C89" w14:textId="77777777" w:rsidR="00014C1A" w:rsidRDefault="00003B0B">
      <w:pPr>
        <w:ind w:firstLine="426"/>
        <w:jc w:val="both"/>
      </w:pPr>
      <w:r>
        <w:rPr>
          <w:b/>
          <w:bCs/>
        </w:rPr>
        <w:t>Оптимизация условий программ для обеспечения большего доступа для микро предприятий.</w:t>
      </w:r>
    </w:p>
    <w:p w14:paraId="0AA796A6" w14:textId="1C4F704F" w:rsidR="00014C1A" w:rsidRDefault="00003B0B">
      <w:pPr>
        <w:ind w:firstLine="426"/>
        <w:jc w:val="both"/>
      </w:pPr>
      <w:r>
        <w:t xml:space="preserve">Фонд, в рамках Стратегии развития продолжит работу по направлению обусловленного размещения кредитных ресурсов через сеть финансовых партнеров - БВУ, МФО, </w:t>
      </w:r>
      <w:r w:rsidR="0060571E">
        <w:t>Л</w:t>
      </w:r>
      <w:r>
        <w:t>К. С целью обеспечения доступа к кредитным ресурсам по программам Фонда для предприятий микро и малого бизнеса и диверсификации рисков ссудного портфеля, а также обеспечения массового охвата программами обусловленного размещения средств Фонда, планируется провести следующую работу:</w:t>
      </w:r>
    </w:p>
    <w:p w14:paraId="5A4B1E98" w14:textId="77777777" w:rsidR="00014C1A" w:rsidRDefault="00003B0B">
      <w:pPr>
        <w:ind w:firstLine="426"/>
        <w:jc w:val="both"/>
      </w:pPr>
      <w:r>
        <w:t xml:space="preserve">- Оптимизация условий программ в части снижения максимальной суммы займа; </w:t>
      </w:r>
    </w:p>
    <w:p w14:paraId="0EE18137" w14:textId="77777777" w:rsidR="00014C1A" w:rsidRDefault="00003B0B">
      <w:pPr>
        <w:ind w:firstLine="426"/>
        <w:jc w:val="both"/>
      </w:pPr>
      <w:r>
        <w:t>- Уход от отраслевых ограничений;</w:t>
      </w:r>
    </w:p>
    <w:p w14:paraId="7B5A672D" w14:textId="3F0E15DF" w:rsidR="00014C1A" w:rsidRDefault="00003B0B" w:rsidP="00D54992">
      <w:pPr>
        <w:ind w:firstLine="426"/>
        <w:jc w:val="both"/>
      </w:pPr>
      <w:r>
        <w:t xml:space="preserve">- Пересмотр условий участия МФО в программах Фонда. </w:t>
      </w:r>
    </w:p>
    <w:p w14:paraId="56352727" w14:textId="77777777" w:rsidR="00014C1A" w:rsidRDefault="00003B0B">
      <w:pPr>
        <w:ind w:firstLine="426"/>
        <w:jc w:val="both"/>
      </w:pPr>
      <w:r>
        <w:rPr>
          <w:b/>
          <w:bCs/>
        </w:rPr>
        <w:t xml:space="preserve">Поэтапное внедрение кредитных технологий и сопутствующих ІТ-решений. </w:t>
      </w:r>
    </w:p>
    <w:p w14:paraId="502BDC1B" w14:textId="6BEB8AA2" w:rsidR="00014C1A" w:rsidRDefault="00003B0B">
      <w:pPr>
        <w:ind w:firstLine="426"/>
        <w:jc w:val="both"/>
      </w:pPr>
      <w:r>
        <w:t>В рамках реализации Стратегии развития Фонда, в части внедрения передовых подходов для реализации кредитных продуктов, Фонд осуществи</w:t>
      </w:r>
      <w:r w:rsidR="007502D8">
        <w:t>л</w:t>
      </w:r>
      <w:r>
        <w:t xml:space="preserve"> поэтапное внедрение кредитных технологий и сопутствующих ІТ-решений.</w:t>
      </w:r>
    </w:p>
    <w:p w14:paraId="3DA7E8F3" w14:textId="0A624CEA" w:rsidR="00014C1A" w:rsidRPr="00297117" w:rsidRDefault="00003B0B">
      <w:pPr>
        <w:ind w:firstLine="426"/>
        <w:jc w:val="both"/>
      </w:pPr>
      <w:r>
        <w:t>Внедрение данных технологий позволи</w:t>
      </w:r>
      <w:r w:rsidR="007502D8">
        <w:t>ло</w:t>
      </w:r>
      <w:r>
        <w:t xml:space="preserve"> увеличить скорость принятия решений по кредитам для микро и малого бизнеса без снижения качества анализа. Так, в части ускорения процесса принятия решения по выдачи займов в </w:t>
      </w:r>
      <w:r w:rsidRPr="00B42FB8">
        <w:rPr>
          <w:color w:val="auto"/>
        </w:rPr>
        <w:t xml:space="preserve">рамках </w:t>
      </w:r>
      <w:hyperlink r:id="rId39" w:history="1">
        <w:r w:rsidRPr="00B42FB8">
          <w:rPr>
            <w:rStyle w:val="a5"/>
            <w:color w:val="auto"/>
            <w:u w:val="none"/>
          </w:rPr>
          <w:t>технологии</w:t>
        </w:r>
      </w:hyperlink>
      <w:r w:rsidRPr="00B42FB8">
        <w:rPr>
          <w:color w:val="auto"/>
        </w:rPr>
        <w:t xml:space="preserve"> «Даму Блиц», Фонд </w:t>
      </w:r>
      <w:r w:rsidR="007502D8" w:rsidRPr="00B42FB8">
        <w:rPr>
          <w:color w:val="auto"/>
        </w:rPr>
        <w:t>в</w:t>
      </w:r>
      <w:r w:rsidRPr="00B42FB8">
        <w:rPr>
          <w:color w:val="auto"/>
        </w:rPr>
        <w:t xml:space="preserve"> 2017 год</w:t>
      </w:r>
      <w:r w:rsidR="007502D8" w:rsidRPr="00B42FB8">
        <w:rPr>
          <w:color w:val="auto"/>
        </w:rPr>
        <w:t>у</w:t>
      </w:r>
      <w:r w:rsidRPr="00B42FB8">
        <w:rPr>
          <w:color w:val="auto"/>
        </w:rPr>
        <w:t xml:space="preserve"> внедри</w:t>
      </w:r>
      <w:r w:rsidR="007502D8" w:rsidRPr="00B42FB8">
        <w:rPr>
          <w:color w:val="auto"/>
        </w:rPr>
        <w:t>л</w:t>
      </w:r>
      <w:r w:rsidRPr="00B42FB8">
        <w:rPr>
          <w:color w:val="auto"/>
        </w:rPr>
        <w:t xml:space="preserve"> технологии </w:t>
      </w:r>
      <w:r w:rsidR="00D74602" w:rsidRPr="00B42FB8">
        <w:rPr>
          <w:color w:val="auto"/>
        </w:rPr>
        <w:t>в некоторые</w:t>
      </w:r>
      <w:r w:rsidRPr="00B42FB8">
        <w:rPr>
          <w:color w:val="auto"/>
        </w:rPr>
        <w:t xml:space="preserve"> программы</w:t>
      </w:r>
      <w:r w:rsidRPr="00946F4A">
        <w:t xml:space="preserve">. </w:t>
      </w:r>
      <w:r w:rsidR="00D74602" w:rsidRPr="00946F4A">
        <w:t>Технология кредитования «Даму-Блиц» позволила утв</w:t>
      </w:r>
      <w:r w:rsidR="00D74602" w:rsidRPr="00F75B35">
        <w:rPr>
          <w:color w:val="auto"/>
        </w:rPr>
        <w:t>ерждать</w:t>
      </w:r>
      <w:r w:rsidR="00D74602" w:rsidRPr="00946F4A">
        <w:t xml:space="preserve"> кредит в течение 7 (семи) рабочих дней, с обязательным участием сотрудников Фонда в процессе рассмотрения и утверждения кредитов банками второго уровня. </w:t>
      </w:r>
    </w:p>
    <w:p w14:paraId="6DA096C1" w14:textId="1E7F16F1" w:rsidR="00014C1A" w:rsidRPr="00946F4A" w:rsidRDefault="00003B0B">
      <w:pPr>
        <w:ind w:firstLine="426"/>
        <w:jc w:val="both"/>
      </w:pPr>
      <w:r w:rsidRPr="00297117">
        <w:t>В части автоматизации процесса кредитного анализа по технологии «Даму Блиц», Фонд использов</w:t>
      </w:r>
      <w:r w:rsidRPr="00EE3EC7">
        <w:t>а</w:t>
      </w:r>
      <w:r w:rsidR="007502D8" w:rsidRPr="00595F51">
        <w:t>л</w:t>
      </w:r>
      <w:r w:rsidRPr="00595F51">
        <w:t xml:space="preserve"> передовые планшетные решения. Для эффективного внедрения кредитных технологий и планшетных решений Фонд </w:t>
      </w:r>
      <w:r w:rsidR="007502D8" w:rsidRPr="00946F4A">
        <w:t>проводил</w:t>
      </w:r>
      <w:r w:rsidRPr="00946F4A">
        <w:t xml:space="preserve"> обучение сотрудников партнёрских организаций</w:t>
      </w:r>
      <w:r w:rsidR="007502D8" w:rsidRPr="00946F4A">
        <w:t xml:space="preserve"> (БВУ/МФО)</w:t>
      </w:r>
      <w:r w:rsidRPr="00946F4A">
        <w:t>.</w:t>
      </w:r>
    </w:p>
    <w:p w14:paraId="20695D7A" w14:textId="0C23C3DC" w:rsidR="009B4828" w:rsidRPr="00946F4A" w:rsidRDefault="009B4828" w:rsidP="009B4828">
      <w:pPr>
        <w:ind w:firstLine="709"/>
        <w:jc w:val="both"/>
        <w:rPr>
          <w:rFonts w:eastAsiaTheme="minorHAnsi"/>
          <w:color w:val="auto"/>
          <w:sz w:val="22"/>
          <w:szCs w:val="22"/>
        </w:rPr>
      </w:pPr>
      <w:r w:rsidRPr="00946F4A">
        <w:t>Применение технологии кредитования «Даму-Блиц» позволило банкам второго уровня:</w:t>
      </w:r>
    </w:p>
    <w:p w14:paraId="0533D356" w14:textId="7CF698EB" w:rsidR="009B4828" w:rsidRPr="00946F4A" w:rsidRDefault="009B4828" w:rsidP="009B4828">
      <w:pPr>
        <w:ind w:left="709"/>
        <w:rPr>
          <w:color w:val="181818"/>
        </w:rPr>
      </w:pPr>
      <w:r w:rsidRPr="00946F4A">
        <w:rPr>
          <w:color w:val="303030"/>
          <w:sz w:val="21"/>
          <w:szCs w:val="21"/>
        </w:rPr>
        <w:t xml:space="preserve">1. </w:t>
      </w:r>
      <w:r w:rsidRPr="00946F4A">
        <w:t>Обеспечить упрощенный доступ к денежным ресурсам и программам государственной поддержки через БВУ;</w:t>
      </w:r>
      <w:r w:rsidRPr="00946F4A">
        <w:br/>
        <w:t>2. Ускорить и упростить процесс выдачи кредитов субъектам ММП;</w:t>
      </w:r>
      <w:r w:rsidRPr="00946F4A">
        <w:br/>
        <w:t>3. Внедрить</w:t>
      </w:r>
      <w:r w:rsidRPr="00946F4A">
        <w:rPr>
          <w:color w:val="303030"/>
        </w:rPr>
        <w:t xml:space="preserve"> единые стандарты рассмотрения кредитных заявок, оптимизировать процедуры кредитования и пакет требуемых документов.</w:t>
      </w:r>
    </w:p>
    <w:p w14:paraId="4427AD74" w14:textId="41F37B47" w:rsidR="009B4828" w:rsidRPr="00946F4A" w:rsidRDefault="009B4828" w:rsidP="009B4828">
      <w:pPr>
        <w:ind w:firstLine="426"/>
        <w:jc w:val="both"/>
      </w:pPr>
      <w:r w:rsidRPr="00946F4A">
        <w:t xml:space="preserve">Кроме этого, в целях обеспечения прозрачности процесса рассмотрения и обеспечения более широкого доступа клиентам, Фонд автоматизировал процесс рассмотрения заявок предпринимателей по инструменту гарантирования кредитов предпринимателей в БВУ на портале электронного правительства </w:t>
      </w:r>
      <w:r w:rsidR="0071536D" w:rsidRPr="00946F4A">
        <w:t>egov</w:t>
      </w:r>
      <w:r w:rsidRPr="00946F4A">
        <w:t>.kz. Это был первый инструмент государственной финансовой поддержки, который можно получить на веб-портале</w:t>
      </w:r>
      <w:r w:rsidR="0071536D" w:rsidRPr="00946F4A">
        <w:t xml:space="preserve"> электронного правительства. Таким образом</w:t>
      </w:r>
      <w:r w:rsidRPr="00946F4A">
        <w:t xml:space="preserve"> с 2016 года субъекты частного предпринимательства подают заявки в Фонд посредством веб-портала «электронного правительства» на </w:t>
      </w:r>
      <w:hyperlink r:id="rId40" w:history="1">
        <w:r w:rsidRPr="00946F4A">
          <w:rPr>
            <w:rStyle w:val="a5"/>
          </w:rPr>
          <w:t>www.egov.kz</w:t>
        </w:r>
      </w:hyperlink>
      <w:r w:rsidRPr="00946F4A">
        <w:t xml:space="preserve"> по инструменту гарантирования. Данное ІТ-решение позволило </w:t>
      </w:r>
      <w:r w:rsidR="00F02FDB" w:rsidRPr="00946F4A">
        <w:t>автоматизировать</w:t>
      </w:r>
      <w:r w:rsidRPr="00946F4A">
        <w:t xml:space="preserve"> бизнес-процессы гарантирования по направлениям: учет гарантий, автоматизация принятия решения по программам гарантирования в короткие сроки. Позже на веб-портале электронного правительства реализовано ІТ-решение по автоматизации процесса </w:t>
      </w:r>
      <w:r w:rsidRPr="00946F4A">
        <w:lastRenderedPageBreak/>
        <w:t>рассмотрения заявок предпринимателей по инструменту субсидирования, что обеспечило упрощение и ускорение процесса принятия решения о предост</w:t>
      </w:r>
      <w:r w:rsidR="00121944" w:rsidRPr="00946F4A">
        <w:t>ав</w:t>
      </w:r>
      <w:r w:rsidRPr="00946F4A">
        <w:t>лении субсидий.</w:t>
      </w:r>
    </w:p>
    <w:p w14:paraId="44C45A35" w14:textId="77777777" w:rsidR="00014C1A" w:rsidRDefault="00003B0B">
      <w:pPr>
        <w:ind w:firstLine="426"/>
        <w:jc w:val="both"/>
      </w:pPr>
      <w:r w:rsidRPr="00680CA3">
        <w:t>С целью повышения эффективности использования имеющихся информационных</w:t>
      </w:r>
      <w:r>
        <w:t xml:space="preserve"> ресурсов Фонд планирует использовать технологию </w:t>
      </w:r>
      <w:r>
        <w:rPr>
          <w:lang w:val="de-DE"/>
        </w:rPr>
        <w:t xml:space="preserve">Big Data. </w:t>
      </w:r>
      <w:r>
        <w:t>Применения данного решения предоставит Фонду возможность сегментировать продукты и потенциальные ниши как для разработки новых востребованных продуктов, так и для эффективного продвижения действующих программ.</w:t>
      </w:r>
    </w:p>
    <w:p w14:paraId="7AFD9956" w14:textId="77777777" w:rsidR="00F75B35" w:rsidRDefault="00F75B35">
      <w:pPr>
        <w:ind w:firstLine="426"/>
        <w:jc w:val="both"/>
        <w:rPr>
          <w:b/>
          <w:bCs/>
        </w:rPr>
      </w:pPr>
    </w:p>
    <w:p w14:paraId="3BC572E7" w14:textId="0F884CF9" w:rsidR="00014C1A" w:rsidRDefault="00003B0B">
      <w:pPr>
        <w:ind w:firstLine="426"/>
        <w:jc w:val="both"/>
      </w:pPr>
      <w:r>
        <w:rPr>
          <w:b/>
          <w:bCs/>
        </w:rPr>
        <w:t xml:space="preserve">1) Финансирование субъектов ММСП через БВУ, </w:t>
      </w:r>
      <w:r w:rsidR="006A0DFF">
        <w:rPr>
          <w:b/>
          <w:bCs/>
        </w:rPr>
        <w:t>Л</w:t>
      </w:r>
      <w:r>
        <w:rPr>
          <w:b/>
          <w:bCs/>
        </w:rPr>
        <w:t xml:space="preserve">К, МФО </w:t>
      </w:r>
    </w:p>
    <w:p w14:paraId="20D5E4FB" w14:textId="77777777" w:rsidR="00014C1A" w:rsidRDefault="00003B0B">
      <w:pPr>
        <w:ind w:firstLine="426"/>
        <w:jc w:val="both"/>
      </w:pPr>
      <w:r>
        <w:t>Фонд является оператором по управлению государственных средств по Программам обусловленного размещения средств в БВУ для последующего кредитования субъектов ММСП.</w:t>
      </w:r>
    </w:p>
    <w:p w14:paraId="48BE3B96" w14:textId="77777777" w:rsidR="00014C1A" w:rsidRDefault="00003B0B">
      <w:pPr>
        <w:ind w:firstLine="426"/>
        <w:jc w:val="both"/>
      </w:pPr>
      <w:r>
        <w:t>Программы обусловленного размещения средств являются одним из инструментов реализации государственной политики по финансовой поддержке субъектов ММСП в Казахстане.</w:t>
      </w:r>
    </w:p>
    <w:p w14:paraId="4500D17E" w14:textId="77777777" w:rsidR="00014C1A" w:rsidRDefault="00003B0B">
      <w:pPr>
        <w:ind w:firstLine="426"/>
        <w:jc w:val="both"/>
      </w:pPr>
      <w:r>
        <w:t>Программы обусловленного размещения средств в БВУ реализуются путем предоставления Фондом БВУ-партнерам финансовых ресурсов (фондирования) на определенных (целевых и ограничительных) условиях для последующего кредитования субъектов ММСП. При этом, одним из основных принципов работы с банками-партнерами является политика невмешательства в их внутренние процедуры и кредитный процесс со стороны Фонда, а также их полная ответственность за риски принятых решений. Финансирование субъектов ММСП Банками-партнерами по данной Программе осуществляется преимущественно без ограничения видов деятельности, за исключением деятельности, запрещенных законодательством Республики Казахстан.</w:t>
      </w:r>
    </w:p>
    <w:p w14:paraId="4B71AD1C" w14:textId="6F07BC59" w:rsidR="00014C1A" w:rsidRDefault="00003B0B">
      <w:pPr>
        <w:ind w:firstLine="426"/>
        <w:jc w:val="both"/>
      </w:pPr>
      <w:r>
        <w:t>Дальнейшая реализация программ обусловленного размещения средств в финансовых институтах будет способствовать повышению степени доступности кредитных ресурсов для субъектов ММСП через дополнительное фондирование БВУ и установление ограничивающих условий по размеру ставки вознаграждения, а также сокращению диспропорции распределения кредитов в региональном и отраслевом разрезах.</w:t>
      </w:r>
    </w:p>
    <w:p w14:paraId="16D19F94" w14:textId="742F22CA" w:rsidR="00A90B54" w:rsidRDefault="00A90B54">
      <w:pPr>
        <w:ind w:firstLine="426"/>
        <w:jc w:val="both"/>
      </w:pPr>
      <w:r w:rsidRPr="00A90B54">
        <w:t>Льготное финансирование лизинговых сделок в рамках программ Фонда «Даму» предоставляет возможность ММСП расширять и модернизировать основные средства. Лизинг - это эффективный инвестиционный инструмент, позволяющий предприятию, не отвлекая собственные ресурсы, приобретать и обновлять основные средства для осуществления предпринимательской деятельности. Лизинг позволяет получить имущество в пользование и распоряжение для извлечения прибыли еще до выплаты его полной стоимости.</w:t>
      </w:r>
    </w:p>
    <w:p w14:paraId="715A18D8" w14:textId="208FD8F6" w:rsidR="00014C1A" w:rsidRPr="00297117" w:rsidRDefault="00003B0B">
      <w:pPr>
        <w:ind w:firstLine="426"/>
        <w:jc w:val="both"/>
      </w:pPr>
      <w:r w:rsidRPr="00A90B54">
        <w:t xml:space="preserve">Источниками средств </w:t>
      </w:r>
      <w:r w:rsidR="00A90B54" w:rsidRPr="00A90B54">
        <w:t>п</w:t>
      </w:r>
      <w:r w:rsidRPr="00A90B54">
        <w:t>рограмм</w:t>
      </w:r>
      <w:r w:rsidR="00A90B54" w:rsidRPr="00A90B54">
        <w:t xml:space="preserve"> лизинга</w:t>
      </w:r>
      <w:r w:rsidRPr="00A90B54">
        <w:t xml:space="preserve"> могут быть как собственные средства, так и привлечённые средства, в т.ч. средства международных финансовых организаций. С учетом сложившегося тренда финансирования рынка лизинга в Казахстане, Фонд продолжит </w:t>
      </w:r>
      <w:r w:rsidRPr="00297117">
        <w:t>размещать средства в лизинговых компаниях. Данная мера будет положительно влиять на обновление основных фондов субъектов ММСП.</w:t>
      </w:r>
    </w:p>
    <w:p w14:paraId="740D30A7" w14:textId="2C12E776" w:rsidR="007B71E0" w:rsidRDefault="00A90B54">
      <w:pPr>
        <w:ind w:firstLine="426"/>
        <w:jc w:val="both"/>
      </w:pPr>
      <w:r w:rsidRPr="00297117">
        <w:t>Р</w:t>
      </w:r>
      <w:r w:rsidR="00003B0B" w:rsidRPr="00297117">
        <w:t>еализаци</w:t>
      </w:r>
      <w:r w:rsidRPr="00595F51">
        <w:t>я</w:t>
      </w:r>
      <w:r w:rsidR="00003B0B" w:rsidRPr="00595F51">
        <w:t xml:space="preserve"> программ обусловленного размещения кредитных средств </w:t>
      </w:r>
      <w:r w:rsidR="00003B0B" w:rsidRPr="00A90B54">
        <w:t xml:space="preserve">через МФО </w:t>
      </w:r>
      <w:r w:rsidRPr="00A90B54">
        <w:t xml:space="preserve">осуществляется в целях </w:t>
      </w:r>
      <w:r w:rsidR="00003B0B" w:rsidRPr="00A90B54">
        <w:t>для обеспечения доступа к финансированию микро</w:t>
      </w:r>
      <w:r w:rsidR="002E6851" w:rsidRPr="00A90B54">
        <w:t>,</w:t>
      </w:r>
      <w:r w:rsidR="00003B0B" w:rsidRPr="00A90B54">
        <w:t xml:space="preserve"> малых </w:t>
      </w:r>
      <w:r w:rsidR="002E6851" w:rsidRPr="003D07A7">
        <w:rPr>
          <w:color w:val="auto"/>
        </w:rPr>
        <w:t xml:space="preserve">и средних </w:t>
      </w:r>
      <w:r w:rsidR="00003B0B" w:rsidRPr="003D07A7">
        <w:rPr>
          <w:color w:val="auto"/>
        </w:rPr>
        <w:t>предприятий, не имеющих возможность получить банковское финансирование п</w:t>
      </w:r>
      <w:r w:rsidR="00003B0B" w:rsidRPr="00297117">
        <w:t>о различным причинам (отсутствие залога, отчетности, отдаленности месторасположения бизнеса и т.д.). В рамках Стратегии развития Фонд продолжит увеличивать объемы размещения средств через МФО как за счет собственных, так и за счет привлекаемых ресурсов</w:t>
      </w:r>
      <w:r w:rsidR="002E6851" w:rsidRPr="00297117">
        <w:t xml:space="preserve">, </w:t>
      </w:r>
      <w:r w:rsidR="00DA675F" w:rsidRPr="00297117">
        <w:rPr>
          <w:color w:val="auto"/>
        </w:rPr>
        <w:t>с установлени</w:t>
      </w:r>
      <w:r w:rsidR="00DA675F" w:rsidRPr="00297117">
        <w:t>ем</w:t>
      </w:r>
      <w:r w:rsidR="00DA675F" w:rsidRPr="00297117">
        <w:rPr>
          <w:color w:val="auto"/>
        </w:rPr>
        <w:t xml:space="preserve"> требовани</w:t>
      </w:r>
      <w:r w:rsidR="00DA675F" w:rsidRPr="00297117">
        <w:t>я по</w:t>
      </w:r>
      <w:r w:rsidR="00DA675F" w:rsidRPr="00EE3EC7">
        <w:t xml:space="preserve"> </w:t>
      </w:r>
      <w:r w:rsidR="00DA675F" w:rsidRPr="00595F51">
        <w:rPr>
          <w:color w:val="auto"/>
        </w:rPr>
        <w:t>предельно допустимо</w:t>
      </w:r>
      <w:r w:rsidR="00DA675F" w:rsidRPr="00595F51">
        <w:t xml:space="preserve">му </w:t>
      </w:r>
      <w:r w:rsidR="00690B01" w:rsidRPr="00595F51">
        <w:t>значению</w:t>
      </w:r>
      <w:r w:rsidR="00DA675F" w:rsidRPr="00595F51">
        <w:rPr>
          <w:color w:val="auto"/>
        </w:rPr>
        <w:t xml:space="preserve"> ставки </w:t>
      </w:r>
      <w:r w:rsidR="00DA675F" w:rsidRPr="00A90B54">
        <w:t xml:space="preserve">вознаграждения </w:t>
      </w:r>
      <w:r w:rsidR="00DA675F" w:rsidRPr="00A90B54">
        <w:rPr>
          <w:color w:val="auto"/>
        </w:rPr>
        <w:t>на конечного заемщика</w:t>
      </w:r>
      <w:r w:rsidR="00003B0B" w:rsidRPr="00A90B54">
        <w:t>.</w:t>
      </w:r>
      <w:r w:rsidR="007B71E0">
        <w:t xml:space="preserve"> </w:t>
      </w:r>
    </w:p>
    <w:p w14:paraId="2877FCAC" w14:textId="5C568E4D" w:rsidR="00014C1A" w:rsidRPr="003D07A7" w:rsidRDefault="007B71E0" w:rsidP="003D07A7">
      <w:pPr>
        <w:ind w:firstLine="426"/>
        <w:jc w:val="both"/>
      </w:pPr>
      <w:r w:rsidRPr="003D07A7">
        <w:t xml:space="preserve">Также, Фонд планирует развивать продукт факторингового финансирования. В мировой практике </w:t>
      </w:r>
      <w:r w:rsidR="006C06A1" w:rsidRPr="003D07A7">
        <w:t>факторинг широко используется,</w:t>
      </w:r>
      <w:r w:rsidR="00407697" w:rsidRPr="003D07A7">
        <w:t xml:space="preserve"> продукт</w:t>
      </w:r>
      <w:r w:rsidR="006C06A1" w:rsidRPr="003D07A7">
        <w:t xml:space="preserve"> предполагает</w:t>
      </w:r>
      <w:r w:rsidRPr="003D07A7">
        <w:t xml:space="preserve"> предоставление финансирования клиенту под уступку клиентом денежного требования к третьему лицу.</w:t>
      </w:r>
      <w:r w:rsidR="001F1621" w:rsidRPr="003D07A7">
        <w:t xml:space="preserve"> </w:t>
      </w:r>
      <w:r w:rsidR="003D07A7">
        <w:t xml:space="preserve">В </w:t>
      </w:r>
      <w:r w:rsidR="003D07A7">
        <w:lastRenderedPageBreak/>
        <w:t>2018 году</w:t>
      </w:r>
      <w:r w:rsidR="003D07A7" w:rsidRPr="003D07A7">
        <w:t xml:space="preserve"> Фонд</w:t>
      </w:r>
      <w:r w:rsidR="003D07A7">
        <w:t>ом разработана П</w:t>
      </w:r>
      <w:r w:rsidR="003D07A7" w:rsidRPr="003D07A7">
        <w:rPr>
          <w:rStyle w:val="af7"/>
          <w:b w:val="0"/>
        </w:rPr>
        <w:t>рограмма обусловленного размещения средств</w:t>
      </w:r>
      <w:r w:rsidR="003D07A7">
        <w:rPr>
          <w:rStyle w:val="af7"/>
          <w:b w:val="0"/>
        </w:rPr>
        <w:t xml:space="preserve"> </w:t>
      </w:r>
      <w:r w:rsidR="003D07A7" w:rsidRPr="003D07A7">
        <w:rPr>
          <w:rStyle w:val="af7"/>
          <w:b w:val="0"/>
        </w:rPr>
        <w:t xml:space="preserve">в </w:t>
      </w:r>
      <w:r w:rsidR="003D07A7">
        <w:rPr>
          <w:rStyle w:val="af7"/>
          <w:b w:val="0"/>
        </w:rPr>
        <w:t>БВУ</w:t>
      </w:r>
      <w:r w:rsidR="003D07A7" w:rsidRPr="003D07A7">
        <w:rPr>
          <w:rStyle w:val="af7"/>
          <w:b w:val="0"/>
        </w:rPr>
        <w:t xml:space="preserve"> и иных организациях для последующего кредитования</w:t>
      </w:r>
      <w:r w:rsidR="003D07A7" w:rsidRPr="003D07A7">
        <w:t xml:space="preserve"> </w:t>
      </w:r>
      <w:r w:rsidR="003D07A7">
        <w:t>СМСП</w:t>
      </w:r>
      <w:r w:rsidR="003D07A7" w:rsidRPr="003D07A7">
        <w:t xml:space="preserve"> с использованием факторинга</w:t>
      </w:r>
      <w:r w:rsidR="003D07A7">
        <w:t xml:space="preserve">. </w:t>
      </w:r>
      <w:r w:rsidR="00F52C23">
        <w:t xml:space="preserve">На сегодняшний день, Фонд планирует сделать определённый акцент на развитии данного инструмента. </w:t>
      </w:r>
      <w:r w:rsidR="003D07A7">
        <w:t xml:space="preserve"> </w:t>
      </w:r>
    </w:p>
    <w:p w14:paraId="74A7AAEF" w14:textId="77777777" w:rsidR="00F75B35" w:rsidRDefault="00F75B35">
      <w:pPr>
        <w:ind w:firstLine="426"/>
        <w:jc w:val="both"/>
        <w:rPr>
          <w:b/>
          <w:bCs/>
        </w:rPr>
      </w:pPr>
    </w:p>
    <w:p w14:paraId="1E252309" w14:textId="254F777D" w:rsidR="00014C1A" w:rsidRDefault="00003B0B">
      <w:pPr>
        <w:ind w:firstLine="426"/>
        <w:jc w:val="both"/>
      </w:pPr>
      <w:r>
        <w:rPr>
          <w:b/>
          <w:bCs/>
        </w:rPr>
        <w:t xml:space="preserve">2) Субсидирование части ставки вознаграждения по новым/действующим кредитам/договорам финансового лизинга, выдаваемым для реализации </w:t>
      </w:r>
      <w:r w:rsidR="00872B68">
        <w:rPr>
          <w:b/>
          <w:bCs/>
        </w:rPr>
        <w:t xml:space="preserve">поддержки </w:t>
      </w:r>
      <w:r w:rsidR="00872B68" w:rsidRPr="00EC6B6B">
        <w:rPr>
          <w:b/>
          <w:iCs/>
        </w:rPr>
        <w:t>предпринимателей/субъектов индустриально-инновационной деятельности</w:t>
      </w:r>
      <w:r w:rsidR="00872B68" w:rsidRPr="00872B68">
        <w:rPr>
          <w:b/>
          <w:bCs/>
        </w:rPr>
        <w:t xml:space="preserve"> </w:t>
      </w:r>
      <w:r w:rsidR="00872B68">
        <w:rPr>
          <w:b/>
          <w:bCs/>
        </w:rPr>
        <w:t>в рамках Национального проекта</w:t>
      </w:r>
    </w:p>
    <w:p w14:paraId="11BDCDDD" w14:textId="7F6360A6" w:rsidR="00014C1A" w:rsidRDefault="00003B0B">
      <w:pPr>
        <w:ind w:firstLine="426"/>
        <w:jc w:val="both"/>
      </w:pPr>
      <w:r>
        <w:t xml:space="preserve">Субсидирование ставки вознаграждения реализуется </w:t>
      </w:r>
      <w:r w:rsidR="00872B68">
        <w:t xml:space="preserve">Фондом с 2010 года, ранее </w:t>
      </w:r>
      <w:r>
        <w:t xml:space="preserve">в рамках </w:t>
      </w:r>
      <w:r w:rsidR="00872B68">
        <w:t xml:space="preserve">Программы </w:t>
      </w:r>
      <w:r>
        <w:t>«ДКБ</w:t>
      </w:r>
      <w:r w:rsidR="001C1E49">
        <w:t>-</w:t>
      </w:r>
      <w:r w:rsidR="005F0D8D">
        <w:t>2025</w:t>
      </w:r>
      <w:r>
        <w:t>»</w:t>
      </w:r>
      <w:r w:rsidR="00872B68">
        <w:t>, в настоящее время в рамках Национального проекта</w:t>
      </w:r>
      <w:r>
        <w:t>.</w:t>
      </w:r>
    </w:p>
    <w:p w14:paraId="398F569A" w14:textId="198A92AB" w:rsidR="00014C1A" w:rsidRDefault="00003B0B">
      <w:pPr>
        <w:ind w:firstLine="426"/>
        <w:jc w:val="both"/>
      </w:pPr>
      <w:r>
        <w:t xml:space="preserve">За время реализации </w:t>
      </w:r>
      <w:r w:rsidR="00872B68">
        <w:t xml:space="preserve">Программы </w:t>
      </w:r>
      <w:r>
        <w:t>«ДКБ</w:t>
      </w:r>
      <w:r w:rsidR="001C1E49">
        <w:t>-</w:t>
      </w:r>
      <w:r w:rsidR="005F0D8D">
        <w:t>2025</w:t>
      </w:r>
      <w:r>
        <w:t>» инструмент субсидирования приобрел популярность среди предпринимателей, показал результативность с точки зрения привлечения кредитов в приоритетные сектора экономики.</w:t>
      </w:r>
    </w:p>
    <w:p w14:paraId="5E89B959" w14:textId="0D610D2B" w:rsidR="00014C1A" w:rsidRDefault="00E7435D" w:rsidP="007A303B">
      <w:pPr>
        <w:ind w:firstLine="426"/>
        <w:jc w:val="both"/>
      </w:pPr>
      <w:r>
        <w:t xml:space="preserve">Фонд на регулярной основе улучшает условия получения инструмента субсидирования </w:t>
      </w:r>
      <w:r w:rsidR="001B0D86">
        <w:t xml:space="preserve">для возможности </w:t>
      </w:r>
      <w:r w:rsidR="00003B0B">
        <w:t>увеличени</w:t>
      </w:r>
      <w:r>
        <w:t>я</w:t>
      </w:r>
      <w:r w:rsidR="00003B0B">
        <w:t xml:space="preserve"> доступа ММСП к данному инструменту поддержки</w:t>
      </w:r>
      <w:r>
        <w:t xml:space="preserve">. </w:t>
      </w:r>
    </w:p>
    <w:p w14:paraId="45D7AC3D" w14:textId="77777777" w:rsidR="00882A0E" w:rsidRDefault="00882A0E">
      <w:pPr>
        <w:ind w:firstLine="426"/>
        <w:jc w:val="both"/>
        <w:rPr>
          <w:b/>
          <w:bCs/>
        </w:rPr>
      </w:pPr>
    </w:p>
    <w:p w14:paraId="4188D6A8" w14:textId="5666EE7A" w:rsidR="00014C1A" w:rsidRDefault="00003B0B">
      <w:pPr>
        <w:ind w:firstLine="426"/>
        <w:jc w:val="both"/>
      </w:pPr>
      <w:r>
        <w:rPr>
          <w:b/>
          <w:bCs/>
        </w:rPr>
        <w:t>3) Гарантирование кредитов субъектов ММСП</w:t>
      </w:r>
    </w:p>
    <w:p w14:paraId="399FD3DB" w14:textId="57698A38" w:rsidR="00014C1A" w:rsidRDefault="00003B0B">
      <w:pPr>
        <w:ind w:firstLine="426"/>
        <w:jc w:val="both"/>
      </w:pPr>
      <w:r>
        <w:t xml:space="preserve">Фонд планирует продолжать активную работу по реализации инструмента гарантирования, как одного из востребованных продуктов Фонда, который обеспечивает ММСП доступ к кредитным ресурсам. Фонд продолжит работу как в качестве агента по гарантированию кредитов в рамках реализации </w:t>
      </w:r>
      <w:r w:rsidR="00B26AB5">
        <w:t>Национального проекта</w:t>
      </w:r>
      <w:r w:rsidR="009750D7">
        <w:t xml:space="preserve"> и</w:t>
      </w:r>
      <w:r>
        <w:t xml:space="preserve"> </w:t>
      </w:r>
      <w:r w:rsidR="00B26AB5">
        <w:t>Механизма</w:t>
      </w:r>
      <w:r w:rsidR="009750D7">
        <w:t xml:space="preserve"> (в рамках которых Фонд предоставляет услуги финансового агента Министерству национальной экономики Республики Казахстан),</w:t>
      </w:r>
      <w:r w:rsidR="00B26AB5">
        <w:t xml:space="preserve"> </w:t>
      </w:r>
      <w:r>
        <w:t>так и реализацию собственной программы «Даму-Оптима».</w:t>
      </w:r>
    </w:p>
    <w:p w14:paraId="094F40BF" w14:textId="6991B9AC" w:rsidR="00014C1A" w:rsidRDefault="00003B0B">
      <w:pPr>
        <w:ind w:firstLine="426"/>
        <w:jc w:val="both"/>
      </w:pPr>
      <w:r>
        <w:t>3</w:t>
      </w:r>
      <w:r w:rsidR="00CB2C8C">
        <w:t>-</w:t>
      </w:r>
      <w:r w:rsidR="00FD7120">
        <w:t>1</w:t>
      </w:r>
      <w:r w:rsidR="00CB2C8C">
        <w:t>)</w:t>
      </w:r>
      <w:r>
        <w:t xml:space="preserve"> </w:t>
      </w:r>
      <w:r w:rsidRPr="00FD7120">
        <w:rPr>
          <w:b/>
        </w:rPr>
        <w:t>Гарантирование кредитов по Программе «Даму-Оптима»</w:t>
      </w:r>
      <w:r>
        <w:t xml:space="preserve">. Программа гарантирования «Даму-Оптима» разработана с целью предоставления доступа к банковскому финансированию ММСП, не имеющих достаточного обеспечения по банковским кредитам и не соответствующих условиям </w:t>
      </w:r>
      <w:r w:rsidR="009750D7">
        <w:t>Национального проекта и Механизма</w:t>
      </w:r>
      <w:r>
        <w:t>.</w:t>
      </w:r>
    </w:p>
    <w:p w14:paraId="407390EA" w14:textId="77777777" w:rsidR="00014C1A" w:rsidRDefault="00003B0B">
      <w:pPr>
        <w:ind w:firstLine="426"/>
        <w:jc w:val="both"/>
      </w:pPr>
      <w:r>
        <w:t>Программа предоставляет для ММСП следующие возможности:</w:t>
      </w:r>
    </w:p>
    <w:p w14:paraId="2C8B3D52" w14:textId="77777777" w:rsidR="00014C1A" w:rsidRDefault="00003B0B" w:rsidP="00CB2C8C">
      <w:pPr>
        <w:ind w:left="567" w:hanging="141"/>
        <w:jc w:val="both"/>
      </w:pPr>
      <w:r>
        <w:t>- гарантировать кредиты, направленные на рефинансирование;</w:t>
      </w:r>
    </w:p>
    <w:p w14:paraId="74BC443C" w14:textId="0A636B96" w:rsidR="00014C1A" w:rsidRDefault="00003B0B" w:rsidP="00CB2C8C">
      <w:pPr>
        <w:ind w:left="567" w:hanging="141"/>
        <w:jc w:val="both"/>
      </w:pPr>
      <w:r>
        <w:t xml:space="preserve">- замены на Программу по гарантированию «Даму-Оптима», при аннулировании гарантии выпущенной по </w:t>
      </w:r>
      <w:r w:rsidR="009750D7">
        <w:t>Национальному проекту и Механизму</w:t>
      </w:r>
      <w:r>
        <w:t>, в случае несоответствия проекта в ходе проведенного мониторинга приоритетному направлению;</w:t>
      </w:r>
    </w:p>
    <w:p w14:paraId="75929CA4" w14:textId="77777777" w:rsidR="00014C1A" w:rsidRDefault="00003B0B" w:rsidP="00CB2C8C">
      <w:pPr>
        <w:ind w:left="567" w:hanging="141"/>
        <w:jc w:val="both"/>
      </w:pPr>
      <w:r>
        <w:t>- снижения суммы гарантии, на размер нецелевого использования кредита пропорционального сумме кредита, вместо полного прекращения договора гарантии;</w:t>
      </w:r>
    </w:p>
    <w:p w14:paraId="149040AF" w14:textId="77777777" w:rsidR="00014C1A" w:rsidRDefault="00003B0B" w:rsidP="00CB2C8C">
      <w:pPr>
        <w:ind w:left="567" w:hanging="141"/>
        <w:jc w:val="both"/>
      </w:pPr>
      <w:r>
        <w:t xml:space="preserve">- предоставления гарантии на весь срок кредитного договора. </w:t>
      </w:r>
    </w:p>
    <w:p w14:paraId="7D0E2BD9" w14:textId="77777777" w:rsidR="00014C1A" w:rsidRDefault="00003B0B">
      <w:pPr>
        <w:ind w:firstLine="426"/>
        <w:jc w:val="both"/>
      </w:pPr>
      <w:r>
        <w:t>Программа предусматривает следующие виды гарантирования:</w:t>
      </w:r>
    </w:p>
    <w:p w14:paraId="23B51F77" w14:textId="77777777" w:rsidR="00014C1A" w:rsidRDefault="00003B0B">
      <w:pPr>
        <w:ind w:firstLine="426"/>
        <w:jc w:val="both"/>
      </w:pPr>
      <w:r>
        <w:t>1) Гарантия для действующих предпринимателей. Данный вид гарантии предполагает возможность получения гарантии в рамках Программы в размере до 50% от суммы кредита в качестве обеспечения исполнения обязательств предпринимателя перед БВУ.</w:t>
      </w:r>
    </w:p>
    <w:p w14:paraId="7684E6FA" w14:textId="77777777" w:rsidR="00014C1A" w:rsidRDefault="00003B0B">
      <w:pPr>
        <w:ind w:firstLine="426"/>
        <w:jc w:val="both"/>
      </w:pPr>
      <w:r>
        <w:t>2) Гарантия для начинающих предпринимателей. Данный вид гарантии предполагает возможность получения гарантии в рамках Программы в размере до 85% от суммы кредита в качестве обеспечения исполнения обязательств предпринимателя перед БВУ.</w:t>
      </w:r>
    </w:p>
    <w:p w14:paraId="639E0159" w14:textId="23230F4B" w:rsidR="00014C1A" w:rsidRDefault="00003B0B">
      <w:pPr>
        <w:ind w:firstLine="426"/>
        <w:jc w:val="both"/>
      </w:pPr>
      <w:r>
        <w:t xml:space="preserve">Фонд планирует в рамках реализации Стратегии полностью автоматизировать внутренние процессы рассмотрения и принятия решений по гарантиям в рамках данной Программы, что в свою очередь позволит значительно оптимизировать внутренний процесс рассмотрения заявки по гарантиям. </w:t>
      </w:r>
    </w:p>
    <w:p w14:paraId="3FA6AF57" w14:textId="1EA3F2BB" w:rsidR="00014C1A" w:rsidRDefault="00003B0B">
      <w:pPr>
        <w:ind w:firstLine="426"/>
        <w:jc w:val="both"/>
      </w:pPr>
      <w:r>
        <w:t xml:space="preserve">Также Фонд </w:t>
      </w:r>
      <w:r w:rsidR="009750D7">
        <w:t xml:space="preserve">реализовал возможность </w:t>
      </w:r>
      <w:r>
        <w:t xml:space="preserve">получения ММСП гарантии Фонда в рамках данной Программы, до обращения за кредитом в банк второго уровня. Данное обновление </w:t>
      </w:r>
      <w:r>
        <w:lastRenderedPageBreak/>
        <w:t>позволи</w:t>
      </w:r>
      <w:r w:rsidR="009750D7">
        <w:t>ло</w:t>
      </w:r>
      <w:r>
        <w:t xml:space="preserve"> ММСП изначально заручиться поддержкой Фонда в виде полученной гарантии, а уже после выбирать БВУ, в котором получит кредит. Предоставление решения по гарантированию кредитов до момента принятия решение БВУ позволи</w:t>
      </w:r>
      <w:r w:rsidR="009750D7">
        <w:t>ло</w:t>
      </w:r>
      <w:r>
        <w:t xml:space="preserve"> Фонду обеспечить больший доступ к кредитным программам Фонда.</w:t>
      </w:r>
    </w:p>
    <w:p w14:paraId="78A167AE" w14:textId="59241140" w:rsidR="00014C1A" w:rsidRDefault="00003B0B">
      <w:pPr>
        <w:ind w:firstLine="426"/>
        <w:jc w:val="both"/>
      </w:pPr>
      <w:r>
        <w:t xml:space="preserve">С целью оперативного решения по предоставлению инструментов поддержки по гарантированию, Фонд планирует применение планшетных решений как </w:t>
      </w:r>
      <w:r w:rsidR="009750D7">
        <w:t>в рамках Национального проекта</w:t>
      </w:r>
      <w:r>
        <w:t xml:space="preserve">, так и в рамках собственной программы «Даму-Оптима». </w:t>
      </w:r>
    </w:p>
    <w:p w14:paraId="780D6458" w14:textId="7E34AC81" w:rsidR="005F0D8D" w:rsidRPr="00EC6B6B" w:rsidRDefault="005F0D8D" w:rsidP="005F0D8D">
      <w:pPr>
        <w:pStyle w:val="af1"/>
        <w:spacing w:after="0" w:line="240" w:lineRule="auto"/>
        <w:ind w:left="0" w:firstLine="567"/>
        <w:jc w:val="both"/>
        <w:rPr>
          <w:rFonts w:ascii="Times New Roman" w:hAnsi="Times New Roman"/>
          <w:sz w:val="24"/>
          <w:szCs w:val="24"/>
        </w:rPr>
      </w:pPr>
      <w:bookmarkStart w:id="20" w:name="_Toc60745789"/>
      <w:r w:rsidRPr="00EC6B6B">
        <w:rPr>
          <w:rFonts w:ascii="Times New Roman" w:hAnsi="Times New Roman"/>
          <w:bCs/>
          <w:sz w:val="24"/>
          <w:szCs w:val="24"/>
          <w:lang w:val="ru-RU"/>
        </w:rPr>
        <w:t>3</w:t>
      </w:r>
      <w:r w:rsidR="00CB2C8C">
        <w:rPr>
          <w:rFonts w:ascii="Times New Roman" w:hAnsi="Times New Roman"/>
          <w:bCs/>
          <w:sz w:val="24"/>
          <w:szCs w:val="24"/>
          <w:lang w:val="ru-RU"/>
        </w:rPr>
        <w:t>-</w:t>
      </w:r>
      <w:r w:rsidR="00FD7120">
        <w:rPr>
          <w:rFonts w:ascii="Times New Roman" w:hAnsi="Times New Roman"/>
          <w:bCs/>
          <w:sz w:val="24"/>
          <w:szCs w:val="24"/>
          <w:lang w:val="ru-RU"/>
        </w:rPr>
        <w:t>2</w:t>
      </w:r>
      <w:r w:rsidR="00CB2C8C">
        <w:rPr>
          <w:rFonts w:ascii="Times New Roman" w:hAnsi="Times New Roman"/>
          <w:bCs/>
          <w:sz w:val="24"/>
          <w:szCs w:val="24"/>
          <w:lang w:val="ru-RU"/>
        </w:rPr>
        <w:t>)</w:t>
      </w:r>
      <w:r w:rsidRPr="00EC6B6B">
        <w:rPr>
          <w:rFonts w:ascii="Times New Roman" w:hAnsi="Times New Roman"/>
          <w:bCs/>
          <w:sz w:val="24"/>
          <w:szCs w:val="24"/>
          <w:lang w:val="ru-RU"/>
        </w:rPr>
        <w:t xml:space="preserve"> </w:t>
      </w:r>
      <w:bookmarkEnd w:id="20"/>
      <w:r w:rsidRPr="00FD7120">
        <w:rPr>
          <w:rFonts w:ascii="Times New Roman" w:hAnsi="Times New Roman"/>
          <w:b/>
          <w:sz w:val="24"/>
          <w:szCs w:val="24"/>
        </w:rPr>
        <w:t>Принятие инструмента гарантирования АО «ФФПСХ» в Фонд</w:t>
      </w:r>
      <w:r w:rsidR="009750D7" w:rsidRPr="00FD7120">
        <w:rPr>
          <w:rFonts w:ascii="Times New Roman" w:hAnsi="Times New Roman"/>
          <w:b/>
          <w:sz w:val="24"/>
          <w:szCs w:val="24"/>
          <w:lang w:val="ru-RU"/>
        </w:rPr>
        <w:t>.</w:t>
      </w:r>
      <w:r w:rsidRPr="00EC6B6B">
        <w:rPr>
          <w:rFonts w:ascii="Times New Roman" w:hAnsi="Times New Roman"/>
          <w:sz w:val="24"/>
          <w:szCs w:val="24"/>
        </w:rPr>
        <w:t xml:space="preserve"> </w:t>
      </w:r>
    </w:p>
    <w:p w14:paraId="178463F1" w14:textId="732D56F7" w:rsidR="005F0D8D" w:rsidRPr="00EC6B6B" w:rsidRDefault="00EF46FF" w:rsidP="00EF46FF">
      <w:pPr>
        <w:ind w:firstLine="567"/>
        <w:contextualSpacing/>
        <w:jc w:val="both"/>
        <w:rPr>
          <w:color w:val="auto"/>
        </w:rPr>
      </w:pPr>
      <w:r w:rsidRPr="00EC6B6B">
        <w:t>В рамках реализации Дорожной карты по пункту 52 Общенационального плана мероприятий по реализации Послания Главы государства «Казахстан в новой реальности: время действий» от 1 сентября 2020 года,</w:t>
      </w:r>
      <w:r w:rsidRPr="00EC6B6B">
        <w:rPr>
          <w:color w:val="auto"/>
        </w:rPr>
        <w:t xml:space="preserve"> </w:t>
      </w:r>
      <w:r w:rsidRPr="00EC6B6B">
        <w:t xml:space="preserve">22 ноября 2021 года вступил в силу Приказ Министра сельского хозяйства Республики Казахстан от 9 ноября 2021 года № 327 «О внесении изменений в приказ Министра сельского хозяйства Республики Казахстан от 30 января 2015 года № 9-1/71 «Об утверждении Правил субсидирования в рамках гарантирования и страхования займов субъектов агропромышленного комплекса» (далее </w:t>
      </w:r>
      <w:r w:rsidRPr="00A822C0">
        <w:t>–</w:t>
      </w:r>
      <w:r w:rsidRPr="00EC6B6B">
        <w:t xml:space="preserve"> Правила</w:t>
      </w:r>
      <w:r w:rsidRPr="00A822C0">
        <w:t xml:space="preserve"> АПК</w:t>
      </w:r>
      <w:r w:rsidRPr="00EC6B6B">
        <w:t xml:space="preserve">), </w:t>
      </w:r>
      <w:r w:rsidRPr="00DE6E1A">
        <w:t xml:space="preserve">в рамках которого функционал по гарантированию проектов АПК передан от </w:t>
      </w:r>
      <w:r w:rsidRPr="00DE6E1A">
        <w:rPr>
          <w:lang w:val="kk-KZ"/>
        </w:rPr>
        <w:t>ФФПСХ в Фонд</w:t>
      </w:r>
      <w:r w:rsidRPr="00EC6B6B">
        <w:t>.</w:t>
      </w:r>
      <w:r w:rsidRPr="00A822C0">
        <w:t xml:space="preserve"> </w:t>
      </w:r>
    </w:p>
    <w:p w14:paraId="1CF5371B" w14:textId="77777777" w:rsidR="00293093" w:rsidRPr="00311A1C" w:rsidRDefault="00293093" w:rsidP="00293093">
      <w:pPr>
        <w:ind w:firstLine="567"/>
        <w:contextualSpacing/>
        <w:jc w:val="both"/>
      </w:pPr>
      <w:r w:rsidRPr="00311A1C">
        <w:t>На базе Фонда за счет средств государственного бюджета создана система компенсации по гарантированию займов, выдаваемых субъектам агропромышленного комплекса. Это позволяет разделить кредитные риски между государством, в лице Фонда, и частными финансовыми институтами, что способствует росту финансирования аграрного сектора экономики в соответствии с приоритетами государственной политики.</w:t>
      </w:r>
    </w:p>
    <w:p w14:paraId="4DB8909E" w14:textId="66AFDD15" w:rsidR="005F0D8D" w:rsidRPr="00311A1C" w:rsidRDefault="00293093" w:rsidP="005F0D8D">
      <w:pPr>
        <w:ind w:firstLine="567"/>
        <w:contextualSpacing/>
        <w:jc w:val="both"/>
      </w:pPr>
      <w:r w:rsidRPr="00311A1C">
        <w:t>В целях первоочередного обеспечения требований по выданным Фондом гарантиям средства компенсационного фонда по гарантированию займов размещаются на постоянной основе в высоколиквидные финансовые активы (деньги, депозиты в банках второго уровня, государственные ценные бумаги и ценные бумаги, включенные в официальные списки организаторов торгов, функционирующих на территории РК).</w:t>
      </w:r>
    </w:p>
    <w:p w14:paraId="2AAE08F6" w14:textId="77777777" w:rsidR="00CB34E2" w:rsidRPr="00EC6B6B" w:rsidRDefault="005F0D8D" w:rsidP="005F0D8D">
      <w:pPr>
        <w:ind w:firstLine="567"/>
        <w:contextualSpacing/>
        <w:jc w:val="both"/>
        <w:rPr>
          <w:color w:val="auto"/>
        </w:rPr>
      </w:pPr>
      <w:r w:rsidRPr="00EC6B6B">
        <w:rPr>
          <w:color w:val="auto"/>
        </w:rPr>
        <w:t>ФФПСХ являлся оператором</w:t>
      </w:r>
      <w:r w:rsidR="00CB34E2" w:rsidRPr="00EC6B6B">
        <w:rPr>
          <w:color w:val="auto"/>
        </w:rPr>
        <w:t>:</w:t>
      </w:r>
    </w:p>
    <w:p w14:paraId="2403BFFF" w14:textId="1E07CA9C" w:rsidR="00CB34E2" w:rsidRPr="00EC6B6B" w:rsidRDefault="005F0D8D" w:rsidP="00CB2C8C">
      <w:pPr>
        <w:pStyle w:val="af1"/>
        <w:numPr>
          <w:ilvl w:val="0"/>
          <w:numId w:val="2"/>
        </w:numPr>
        <w:tabs>
          <w:tab w:val="left" w:pos="993"/>
        </w:tabs>
        <w:spacing w:after="0" w:line="240" w:lineRule="auto"/>
        <w:ind w:left="0" w:firstLine="567"/>
        <w:jc w:val="both"/>
      </w:pPr>
      <w:r w:rsidRPr="00EC6B6B">
        <w:t xml:space="preserve"> </w:t>
      </w:r>
      <w:r w:rsidRPr="00EC6B6B">
        <w:rPr>
          <w:rFonts w:ascii="Times New Roman" w:hAnsi="Times New Roman"/>
          <w:sz w:val="24"/>
          <w:szCs w:val="24"/>
        </w:rPr>
        <w:t>по микрокредитованию и гарантированию кредитов в рамках программы «Еңбек»</w:t>
      </w:r>
      <w:r w:rsidR="008817A9">
        <w:rPr>
          <w:rFonts w:ascii="Times New Roman" w:hAnsi="Times New Roman"/>
          <w:sz w:val="24"/>
          <w:szCs w:val="24"/>
          <w:lang w:val="ru-RU"/>
        </w:rPr>
        <w:t xml:space="preserve"> </w:t>
      </w:r>
      <w:r w:rsidR="008817A9" w:rsidRPr="008817A9">
        <w:rPr>
          <w:rFonts w:ascii="Times New Roman" w:hAnsi="Times New Roman"/>
          <w:sz w:val="24"/>
          <w:szCs w:val="24"/>
          <w:lang w:val="ru-RU"/>
        </w:rPr>
        <w:t>(</w:t>
      </w:r>
      <w:r w:rsidR="008817A9" w:rsidRPr="008817A9">
        <w:rPr>
          <w:rStyle w:val="s1"/>
          <w:b w:val="0"/>
          <w:sz w:val="24"/>
          <w:szCs w:val="24"/>
        </w:rPr>
        <w:t>Приказ Заместителя Премьер-Министра Республики Казахстан - Министра сельского хозяйства Республики Казахстан от 27 ноября 2018 года № 477</w:t>
      </w:r>
      <w:r w:rsidR="008817A9" w:rsidRPr="008817A9">
        <w:rPr>
          <w:rFonts w:ascii="Times New Roman" w:hAnsi="Times New Roman"/>
          <w:sz w:val="24"/>
          <w:szCs w:val="24"/>
          <w:lang w:val="ru-RU"/>
        </w:rPr>
        <w:t>)</w:t>
      </w:r>
      <w:r w:rsidRPr="008817A9">
        <w:rPr>
          <w:rFonts w:ascii="Times New Roman" w:hAnsi="Times New Roman"/>
          <w:sz w:val="24"/>
          <w:szCs w:val="24"/>
        </w:rPr>
        <w:t>,</w:t>
      </w:r>
      <w:r w:rsidR="00CB34E2" w:rsidRPr="00EC6B6B">
        <w:rPr>
          <w:rFonts w:ascii="Times New Roman" w:hAnsi="Times New Roman"/>
          <w:sz w:val="24"/>
          <w:szCs w:val="24"/>
          <w:lang w:val="ru-RU"/>
        </w:rPr>
        <w:t xml:space="preserve"> в рамках которого и</w:t>
      </w:r>
      <w:r w:rsidR="00CB34E2" w:rsidRPr="00EC6B6B">
        <w:rPr>
          <w:rFonts w:ascii="Times New Roman" w:hAnsi="Times New Roman"/>
          <w:sz w:val="24"/>
          <w:szCs w:val="24"/>
        </w:rPr>
        <w:t xml:space="preserve">нструмент гарантирования </w:t>
      </w:r>
      <w:r w:rsidR="00CB34E2" w:rsidRPr="00EC6B6B">
        <w:rPr>
          <w:rFonts w:ascii="Times New Roman" w:hAnsi="Times New Roman"/>
          <w:sz w:val="24"/>
          <w:szCs w:val="24"/>
          <w:lang w:val="ru-RU"/>
        </w:rPr>
        <w:t xml:space="preserve">был </w:t>
      </w:r>
      <w:r w:rsidR="00CB34E2" w:rsidRPr="00EC6B6B">
        <w:rPr>
          <w:rFonts w:ascii="Times New Roman" w:hAnsi="Times New Roman"/>
          <w:sz w:val="24"/>
          <w:szCs w:val="24"/>
        </w:rPr>
        <w:t>ориентирован на поддержку начинающих и мелких сельскохозяйственных товаропроизводителей (далее - СХТП).  Средний размер займа проектов, переданных от ФФПСХ, в 2020 году составил 3,6 млн тенге или 8,5 тыс. долл. США.</w:t>
      </w:r>
    </w:p>
    <w:p w14:paraId="1BE5ED9A" w14:textId="395BD297" w:rsidR="005F0D8D" w:rsidRPr="00EC6B6B" w:rsidRDefault="00491F1F" w:rsidP="00CB2C8C">
      <w:pPr>
        <w:pStyle w:val="af1"/>
        <w:numPr>
          <w:ilvl w:val="0"/>
          <w:numId w:val="2"/>
        </w:numPr>
        <w:tabs>
          <w:tab w:val="left" w:pos="993"/>
        </w:tabs>
        <w:spacing w:after="0" w:line="240" w:lineRule="auto"/>
        <w:ind w:left="0" w:firstLine="567"/>
        <w:jc w:val="both"/>
      </w:pPr>
      <w:r>
        <w:rPr>
          <w:rFonts w:ascii="Times New Roman" w:hAnsi="Times New Roman"/>
          <w:sz w:val="24"/>
          <w:szCs w:val="24"/>
          <w:lang w:val="ru-RU"/>
        </w:rPr>
        <w:t xml:space="preserve">по </w:t>
      </w:r>
      <w:r w:rsidR="005F0D8D" w:rsidRPr="00EC6B6B">
        <w:rPr>
          <w:rFonts w:ascii="Times New Roman" w:hAnsi="Times New Roman"/>
          <w:sz w:val="24"/>
          <w:szCs w:val="24"/>
        </w:rPr>
        <w:t>программ</w:t>
      </w:r>
      <w:r>
        <w:rPr>
          <w:rFonts w:ascii="Times New Roman" w:hAnsi="Times New Roman"/>
          <w:sz w:val="24"/>
          <w:szCs w:val="24"/>
          <w:lang w:val="ru-RU"/>
        </w:rPr>
        <w:t>е</w:t>
      </w:r>
      <w:r w:rsidR="005F0D8D" w:rsidRPr="00EC6B6B">
        <w:rPr>
          <w:rFonts w:ascii="Times New Roman" w:hAnsi="Times New Roman"/>
          <w:sz w:val="24"/>
          <w:szCs w:val="24"/>
        </w:rPr>
        <w:t xml:space="preserve"> гарантирования в рамках </w:t>
      </w:r>
      <w:r w:rsidRPr="00491F1F">
        <w:rPr>
          <w:rFonts w:ascii="Times New Roman" w:hAnsi="Times New Roman"/>
          <w:bCs/>
          <w:sz w:val="24"/>
          <w:szCs w:val="24"/>
        </w:rPr>
        <w:t>Приказа Министра сельского хозяйства Республики Казахстан от 30 января 2015 года № 9-1/71</w:t>
      </w:r>
      <w:r w:rsidR="005F0D8D" w:rsidRPr="00491F1F">
        <w:rPr>
          <w:rFonts w:ascii="Times New Roman" w:hAnsi="Times New Roman"/>
          <w:sz w:val="24"/>
          <w:szCs w:val="24"/>
        </w:rPr>
        <w:t xml:space="preserve">, </w:t>
      </w:r>
      <w:r w:rsidR="005F0D8D" w:rsidRPr="00EC6B6B">
        <w:rPr>
          <w:rFonts w:ascii="Times New Roman" w:hAnsi="Times New Roman"/>
          <w:sz w:val="24"/>
          <w:szCs w:val="24"/>
        </w:rPr>
        <w:t xml:space="preserve">в рамках которого ФФПСХ предоставлял гарантию субъектам частного предпринимательства, занятых в сфере агропромышленного комплекса. </w:t>
      </w:r>
    </w:p>
    <w:p w14:paraId="3C57315C" w14:textId="623774C4" w:rsidR="005F0D8D" w:rsidRDefault="00CB34E2" w:rsidP="005F0D8D">
      <w:pPr>
        <w:ind w:firstLine="426"/>
        <w:jc w:val="both"/>
        <w:rPr>
          <w:color w:val="auto"/>
        </w:rPr>
      </w:pPr>
      <w:r w:rsidRPr="00EC6B6B">
        <w:rPr>
          <w:color w:val="auto"/>
          <w:lang w:val="kk-KZ"/>
        </w:rPr>
        <w:t xml:space="preserve">К концу 2021 года Фондом завершены все мероприятия и осуществлено </w:t>
      </w:r>
      <w:r w:rsidR="005F0D8D" w:rsidRPr="00EC6B6B">
        <w:rPr>
          <w:color w:val="auto"/>
        </w:rPr>
        <w:t>приняти</w:t>
      </w:r>
      <w:r w:rsidRPr="00EC6B6B">
        <w:rPr>
          <w:color w:val="auto"/>
        </w:rPr>
        <w:t>е</w:t>
      </w:r>
      <w:r w:rsidR="005F0D8D" w:rsidRPr="00EC6B6B">
        <w:rPr>
          <w:color w:val="auto"/>
        </w:rPr>
        <w:t xml:space="preserve"> функционала инструмента гарантирования кредитов от ФФПСХ</w:t>
      </w:r>
      <w:r w:rsidRPr="00EC6B6B">
        <w:rPr>
          <w:color w:val="auto"/>
        </w:rPr>
        <w:t xml:space="preserve">, а также </w:t>
      </w:r>
      <w:r w:rsidR="005F0D8D" w:rsidRPr="00EC6B6B">
        <w:rPr>
          <w:color w:val="auto"/>
        </w:rPr>
        <w:t>внесен</w:t>
      </w:r>
      <w:r w:rsidRPr="00EC6B6B">
        <w:rPr>
          <w:color w:val="auto"/>
        </w:rPr>
        <w:t>ы</w:t>
      </w:r>
      <w:r w:rsidR="005F0D8D" w:rsidRPr="00EC6B6B">
        <w:rPr>
          <w:color w:val="auto"/>
        </w:rPr>
        <w:t xml:space="preserve"> изменени</w:t>
      </w:r>
      <w:r w:rsidRPr="00EC6B6B">
        <w:rPr>
          <w:color w:val="auto"/>
        </w:rPr>
        <w:t>я</w:t>
      </w:r>
      <w:r w:rsidR="005F0D8D" w:rsidRPr="00EC6B6B">
        <w:rPr>
          <w:color w:val="auto"/>
        </w:rPr>
        <w:t xml:space="preserve"> в нормативно-правовые акты для дальнейшего рассмотрения заявок по гарантированию кредитов в сфере сельскохозяйственных товаропроизводителей и предпринимателей занятых в агропромышленном комплексе. Таким образом, портфель проектов гарантирования Фонда </w:t>
      </w:r>
      <w:r w:rsidRPr="00EC6B6B">
        <w:rPr>
          <w:color w:val="auto"/>
        </w:rPr>
        <w:t>расширен</w:t>
      </w:r>
      <w:r w:rsidR="005F0D8D" w:rsidRPr="00EC6B6B">
        <w:rPr>
          <w:color w:val="auto"/>
        </w:rPr>
        <w:t xml:space="preserve"> за счет принятого портфеля от ФФПСХ.</w:t>
      </w:r>
    </w:p>
    <w:p w14:paraId="7DEB39FE" w14:textId="1355B0E0" w:rsidR="00014C1A" w:rsidRDefault="00A67908">
      <w:pPr>
        <w:ind w:firstLine="426"/>
        <w:jc w:val="both"/>
      </w:pPr>
      <w:r w:rsidRPr="00A67908">
        <w:rPr>
          <w:bCs/>
        </w:rPr>
        <w:t>3-</w:t>
      </w:r>
      <w:r w:rsidR="00FD7120">
        <w:rPr>
          <w:bCs/>
        </w:rPr>
        <w:t>3</w:t>
      </w:r>
      <w:r w:rsidRPr="00A67908">
        <w:rPr>
          <w:bCs/>
        </w:rPr>
        <w:t>)</w:t>
      </w:r>
      <w:r>
        <w:rPr>
          <w:b/>
          <w:bCs/>
        </w:rPr>
        <w:t xml:space="preserve"> </w:t>
      </w:r>
      <w:r w:rsidR="00003B0B">
        <w:rPr>
          <w:b/>
          <w:bCs/>
        </w:rPr>
        <w:t>Разработка и реализация Программы портфельных гарантий 2020-2023 годы.</w:t>
      </w:r>
    </w:p>
    <w:p w14:paraId="441CC3C1" w14:textId="4889CCC6" w:rsidR="00014C1A" w:rsidRDefault="00003B0B">
      <w:pPr>
        <w:ind w:firstLine="426"/>
        <w:jc w:val="both"/>
      </w:pPr>
      <w:r>
        <w:t xml:space="preserve">Международный опыт показывает, что гарантирование кредитов является действенным инструментом государственной поддержки ММСП и должно носить массовый характер. Реализация действующих программ гарантирования как </w:t>
      </w:r>
      <w:r w:rsidR="001E4485">
        <w:t>Национального проекта</w:t>
      </w:r>
      <w:r w:rsidR="0052765C">
        <w:t xml:space="preserve"> и Механизма</w:t>
      </w:r>
      <w:r>
        <w:t xml:space="preserve">, так и «Даму-Оптима» предполагает повторную экономическую экспертизу проекта, юридическую экспертизу, проверку службой безопасности и проверку кредитной истории, в некоторых случаях предполагается наличие заключения риск-менеджера, что </w:t>
      </w:r>
      <w:r>
        <w:lastRenderedPageBreak/>
        <w:t>занимает определенное время и затягивает процесс получения кредита для клиента.</w:t>
      </w:r>
      <w:r w:rsidR="008F474C" w:rsidRPr="008F474C">
        <w:t xml:space="preserve"> В ввиду возросшего спроса на гарантии Фонда, повторный процесс проведения экономической эксп</w:t>
      </w:r>
      <w:r w:rsidR="00A55897">
        <w:t>ертизы может замедлить скорость предоставления гарантий</w:t>
      </w:r>
      <w:r w:rsidR="008F474C" w:rsidRPr="008F474C">
        <w:t xml:space="preserve"> и возможно возникнет недовольство со стороны клиентов и БВУ</w:t>
      </w:r>
      <w:r w:rsidRPr="008F474C">
        <w:t>.</w:t>
      </w:r>
      <w:r>
        <w:t xml:space="preserve"> По статистике работы кредитного комитета Фонда, только 4% заявок получили отрицательное решение Фонда, что говорит о совпадении взглядов, методов и подходов БВУ и Фонда в части принятия решения по проектам.</w:t>
      </w:r>
    </w:p>
    <w:p w14:paraId="5DE9282D" w14:textId="13E4966E" w:rsidR="00014C1A" w:rsidRDefault="00CF3A74" w:rsidP="00882A0E">
      <w:pPr>
        <w:ind w:firstLine="426"/>
        <w:jc w:val="both"/>
      </w:pPr>
      <w:r>
        <w:t xml:space="preserve">С целью решения вышеуказанных </w:t>
      </w:r>
      <w:r w:rsidR="00673CFF">
        <w:t xml:space="preserve">проблем, </w:t>
      </w:r>
      <w:r w:rsidR="00673CFF" w:rsidRPr="0055141A">
        <w:t>Фондом разработан продукт портфельного гарантирования,</w:t>
      </w:r>
      <w:r w:rsidR="00673CFF">
        <w:t xml:space="preserve"> с</w:t>
      </w:r>
      <w:r w:rsidR="00003B0B">
        <w:t xml:space="preserve">уть продукта заключается в предоставлении финансовым партнерам (БВУ, МФО) определенного лимита на использование гарантий Фонда без согласования каждого отдельного проекта с Фондом. В данном механизме Фонд </w:t>
      </w:r>
      <w:r w:rsidR="00673CFF" w:rsidRPr="0055141A">
        <w:t xml:space="preserve">оказывает методологическую помощь финансовым партнерам и контролирует соблюдение критериев, </w:t>
      </w:r>
      <w:r w:rsidR="00003B0B">
        <w:t xml:space="preserve">, при соблюдении которых кредит может быть включен в пул, обеспеченный портфельной гарантией. </w:t>
      </w:r>
    </w:p>
    <w:p w14:paraId="126E89BC" w14:textId="06F86898" w:rsidR="00AF14BB" w:rsidRDefault="00C40379" w:rsidP="00AF14BB">
      <w:pPr>
        <w:ind w:firstLine="426"/>
        <w:jc w:val="both"/>
      </w:pPr>
      <w:r w:rsidRPr="0055141A">
        <w:t xml:space="preserve">Таким </w:t>
      </w:r>
      <w:r w:rsidRPr="00C40379">
        <w:t>образом</w:t>
      </w:r>
      <w:r w:rsidRPr="00C40379">
        <w:rPr>
          <w:bCs/>
        </w:rPr>
        <w:t xml:space="preserve"> в</w:t>
      </w:r>
      <w:r w:rsidR="00AF14BB" w:rsidRPr="00C40379">
        <w:rPr>
          <w:bCs/>
        </w:rPr>
        <w:t xml:space="preserve"> 2018 году</w:t>
      </w:r>
      <w:r w:rsidR="00AF14BB" w:rsidRPr="00AF14BB">
        <w:t xml:space="preserve"> в рамках</w:t>
      </w:r>
      <w:r w:rsidR="00AF14BB">
        <w:t xml:space="preserve"> второго направления</w:t>
      </w:r>
      <w:r w:rsidR="00AF14BB" w:rsidRPr="00AF14BB">
        <w:t xml:space="preserve"> </w:t>
      </w:r>
      <w:r w:rsidR="00AF14BB">
        <w:t>«ДКБ-2025»</w:t>
      </w:r>
      <w:r w:rsidR="00AF14BB" w:rsidRPr="00AF14BB">
        <w:t xml:space="preserve"> и </w:t>
      </w:r>
      <w:r w:rsidR="00AF14BB">
        <w:t>Программы</w:t>
      </w:r>
      <w:r w:rsidR="00AF14BB" w:rsidRPr="00AF14BB">
        <w:t xml:space="preserve"> «Еңбек» был внедрен метод портфельного гарантирования. </w:t>
      </w:r>
      <w:r w:rsidR="00AF14BB">
        <w:t>В июле 2020 года первое направление «ДКБ-2025» было полностью выделено на направление портфельного субсидирования и гарантирования. А в</w:t>
      </w:r>
      <w:r w:rsidR="00AF14BB" w:rsidRPr="00AF14BB">
        <w:rPr>
          <w:b/>
          <w:bCs/>
        </w:rPr>
        <w:t xml:space="preserve"> </w:t>
      </w:r>
      <w:r w:rsidR="00AF14BB" w:rsidRPr="00FD7120">
        <w:rPr>
          <w:bCs/>
        </w:rPr>
        <w:t>2021 году</w:t>
      </w:r>
      <w:r w:rsidR="00AF14BB" w:rsidRPr="00AF14BB">
        <w:rPr>
          <w:b/>
          <w:bCs/>
        </w:rPr>
        <w:t xml:space="preserve"> </w:t>
      </w:r>
      <w:r w:rsidR="00AF14BB" w:rsidRPr="00AF14BB">
        <w:t>метод портфельного гарантирования также был внедрен в Механизм кредитования и финансового лизинга приоритетных проектов</w:t>
      </w:r>
      <w:r w:rsidR="00AF14BB">
        <w:t>.</w:t>
      </w:r>
      <w:r w:rsidR="00AF14BB" w:rsidRPr="00AF14BB">
        <w:t xml:space="preserve"> </w:t>
      </w:r>
    </w:p>
    <w:p w14:paraId="147AAAB2" w14:textId="77777777" w:rsidR="00C40379" w:rsidRDefault="00C40379">
      <w:pPr>
        <w:ind w:firstLine="426"/>
        <w:jc w:val="both"/>
      </w:pPr>
    </w:p>
    <w:p w14:paraId="54B73252" w14:textId="436BC5B7" w:rsidR="00014C1A" w:rsidRDefault="00003B0B">
      <w:pPr>
        <w:ind w:firstLine="426"/>
        <w:jc w:val="both"/>
      </w:pPr>
      <w:r>
        <w:t>Реализация данной программы предостави</w:t>
      </w:r>
      <w:r w:rsidR="00AF14BB">
        <w:t>ла</w:t>
      </w:r>
      <w:r>
        <w:t xml:space="preserve"> ряд возможностей как для ММСП, так и для финансовых партнёров Фонда (БВУ, МФО):</w:t>
      </w:r>
    </w:p>
    <w:p w14:paraId="131243D1" w14:textId="77777777" w:rsidR="00014C1A" w:rsidRDefault="00003B0B">
      <w:pPr>
        <w:ind w:firstLine="426"/>
        <w:jc w:val="both"/>
      </w:pPr>
      <w:r>
        <w:t>- доступность к кредитам даже при отсутствии достаточного залога;</w:t>
      </w:r>
    </w:p>
    <w:p w14:paraId="3EC05C1A" w14:textId="77777777" w:rsidR="00014C1A" w:rsidRDefault="00003B0B">
      <w:pPr>
        <w:ind w:firstLine="426"/>
        <w:jc w:val="both"/>
      </w:pPr>
      <w:r>
        <w:t>- увеличение скорости получения кредита с гарантией Банк;</w:t>
      </w:r>
    </w:p>
    <w:p w14:paraId="749A2D9B" w14:textId="77777777" w:rsidR="00014C1A" w:rsidRDefault="00003B0B">
      <w:pPr>
        <w:ind w:firstLine="426"/>
        <w:jc w:val="both"/>
      </w:pPr>
      <w:r>
        <w:t>- уменьшение затрат времени на оценку и оформление залога;</w:t>
      </w:r>
    </w:p>
    <w:p w14:paraId="59D47D2E" w14:textId="77777777" w:rsidR="00014C1A" w:rsidRDefault="00003B0B">
      <w:pPr>
        <w:ind w:firstLine="426"/>
        <w:jc w:val="both"/>
      </w:pPr>
      <w:r>
        <w:t>- конкурентное преимущество перед другими банками.</w:t>
      </w:r>
    </w:p>
    <w:p w14:paraId="47D340E0" w14:textId="77777777" w:rsidR="00014C1A" w:rsidRDefault="00003B0B">
      <w:pPr>
        <w:ind w:firstLine="426"/>
        <w:jc w:val="both"/>
      </w:pPr>
      <w:r>
        <w:t>Для Фонда данная Программа предоставит решения следующих задач:</w:t>
      </w:r>
    </w:p>
    <w:p w14:paraId="0E6CB230" w14:textId="77777777" w:rsidR="00014C1A" w:rsidRDefault="00003B0B">
      <w:pPr>
        <w:ind w:firstLine="426"/>
        <w:jc w:val="both"/>
      </w:pPr>
      <w:r>
        <w:t>- увеличение скорости оформления гарантий; рост количества гарантий;</w:t>
      </w:r>
    </w:p>
    <w:p w14:paraId="7AFC829F" w14:textId="77777777" w:rsidR="00014C1A" w:rsidRDefault="00003B0B">
      <w:pPr>
        <w:ind w:firstLine="426"/>
        <w:jc w:val="both"/>
      </w:pPr>
      <w:r>
        <w:t>- уменьшение общих административных расходов на выпуск гарантий;</w:t>
      </w:r>
    </w:p>
    <w:p w14:paraId="042211D0" w14:textId="188CC976" w:rsidR="00F738D1" w:rsidRDefault="00003B0B">
      <w:pPr>
        <w:ind w:firstLine="426"/>
        <w:jc w:val="both"/>
      </w:pPr>
      <w:r>
        <w:t xml:space="preserve">- высвобождение персонала для реализации других продуктов и программ. </w:t>
      </w:r>
    </w:p>
    <w:p w14:paraId="5E82A2B9" w14:textId="77777777" w:rsidR="00F136CE" w:rsidRDefault="00F136CE">
      <w:pPr>
        <w:ind w:firstLine="426"/>
        <w:jc w:val="both"/>
      </w:pPr>
    </w:p>
    <w:p w14:paraId="44F393E1" w14:textId="32F43ADB" w:rsidR="00AF14BB" w:rsidRDefault="00C40379">
      <w:pPr>
        <w:ind w:firstLine="426"/>
        <w:jc w:val="both"/>
      </w:pPr>
      <w:r>
        <w:t>На сегодняшний день</w:t>
      </w:r>
      <w:r w:rsidR="00AF14BB" w:rsidRPr="0055141A">
        <w:t xml:space="preserve">, </w:t>
      </w:r>
      <w:r w:rsidR="00001DF9">
        <w:t xml:space="preserve">все действующие программы гарантирования включают в себя метод портфельного гарантирования, в том числе </w:t>
      </w:r>
      <w:r w:rsidR="00001DF9" w:rsidRPr="0055141A">
        <w:t>Программа гарантирования «Даму-Оптима»</w:t>
      </w:r>
      <w:r w:rsidR="00001DF9">
        <w:t>. Таким образом, Фонд планирует активно развивать метод портфельного гарантирования и в будущем периоде</w:t>
      </w:r>
      <w:r w:rsidR="00AF14BB" w:rsidRPr="0055141A">
        <w:t>.</w:t>
      </w:r>
    </w:p>
    <w:p w14:paraId="1ADE38A1" w14:textId="23AC2439" w:rsidR="0004313E" w:rsidRPr="00FD7120" w:rsidRDefault="0004313E" w:rsidP="0004313E">
      <w:pPr>
        <w:pStyle w:val="af1"/>
        <w:spacing w:after="0" w:line="240" w:lineRule="auto"/>
        <w:ind w:left="0" w:firstLine="566"/>
        <w:jc w:val="both"/>
        <w:rPr>
          <w:rFonts w:ascii="Times New Roman" w:hAnsi="Times New Roman"/>
          <w:sz w:val="24"/>
          <w:szCs w:val="24"/>
        </w:rPr>
      </w:pPr>
      <w:r w:rsidRPr="00FD7120">
        <w:rPr>
          <w:rFonts w:ascii="Times New Roman" w:hAnsi="Times New Roman"/>
          <w:bCs/>
          <w:sz w:val="24"/>
          <w:szCs w:val="24"/>
        </w:rPr>
        <w:t>3-</w:t>
      </w:r>
      <w:r w:rsidR="00FD7120" w:rsidRPr="00FD7120">
        <w:rPr>
          <w:rFonts w:ascii="Times New Roman" w:hAnsi="Times New Roman"/>
          <w:bCs/>
          <w:sz w:val="24"/>
          <w:szCs w:val="24"/>
          <w:lang w:val="ru-RU"/>
        </w:rPr>
        <w:t>4</w:t>
      </w:r>
      <w:r w:rsidRPr="00FD7120">
        <w:rPr>
          <w:rFonts w:ascii="Times New Roman" w:hAnsi="Times New Roman"/>
          <w:bCs/>
          <w:sz w:val="24"/>
          <w:szCs w:val="24"/>
        </w:rPr>
        <w:t xml:space="preserve">) </w:t>
      </w:r>
      <w:r w:rsidRPr="00AA3F4E">
        <w:rPr>
          <w:rFonts w:ascii="Times New Roman" w:hAnsi="Times New Roman"/>
          <w:b/>
          <w:sz w:val="24"/>
          <w:szCs w:val="24"/>
        </w:rPr>
        <w:t xml:space="preserve">Развитие инструментов фондового рынка посредством гарантирования облигаций, выпускаемых на площадке </w:t>
      </w:r>
      <w:r w:rsidRPr="00AA3F4E">
        <w:rPr>
          <w:rFonts w:ascii="Times New Roman" w:hAnsi="Times New Roman"/>
          <w:b/>
          <w:sz w:val="24"/>
          <w:szCs w:val="24"/>
          <w:lang w:val="en-US"/>
        </w:rPr>
        <w:t>KASE</w:t>
      </w:r>
      <w:r w:rsidRPr="00AA3F4E">
        <w:rPr>
          <w:rFonts w:ascii="Times New Roman" w:hAnsi="Times New Roman"/>
          <w:b/>
          <w:sz w:val="24"/>
          <w:szCs w:val="24"/>
          <w:lang w:val="ru-RU"/>
        </w:rPr>
        <w:t>/</w:t>
      </w:r>
      <w:r w:rsidRPr="00AA3F4E">
        <w:rPr>
          <w:rFonts w:ascii="Times New Roman" w:hAnsi="Times New Roman"/>
          <w:b/>
          <w:sz w:val="24"/>
          <w:szCs w:val="24"/>
        </w:rPr>
        <w:t>МФЦА по проектам среднего бизнеса</w:t>
      </w:r>
      <w:r w:rsidRPr="00FD7120">
        <w:rPr>
          <w:rFonts w:ascii="Times New Roman" w:hAnsi="Times New Roman"/>
          <w:sz w:val="24"/>
          <w:szCs w:val="24"/>
          <w:lang w:val="ru-RU"/>
        </w:rPr>
        <w:t>.</w:t>
      </w:r>
      <w:r w:rsidRPr="00FD7120">
        <w:rPr>
          <w:rFonts w:ascii="Times New Roman" w:hAnsi="Times New Roman"/>
          <w:bCs/>
          <w:sz w:val="24"/>
          <w:szCs w:val="24"/>
        </w:rPr>
        <w:t xml:space="preserve"> </w:t>
      </w:r>
    </w:p>
    <w:p w14:paraId="6074005B" w14:textId="01410610" w:rsidR="0004313E" w:rsidRPr="001719F5" w:rsidRDefault="0004313E" w:rsidP="0004313E">
      <w:pPr>
        <w:ind w:firstLine="709"/>
        <w:jc w:val="both"/>
      </w:pPr>
      <w:r w:rsidRPr="008E2B2E">
        <w:t xml:space="preserve">С целью формирования </w:t>
      </w:r>
      <w:r w:rsidRPr="008E2B2E">
        <w:rPr>
          <w:bCs/>
        </w:rPr>
        <w:t>альтернативного</w:t>
      </w:r>
      <w:r w:rsidRPr="008E2B2E">
        <w:t xml:space="preserve"> канала финансирования субъектов </w:t>
      </w:r>
      <w:r w:rsidRPr="008E2B2E">
        <w:rPr>
          <w:bCs/>
        </w:rPr>
        <w:t xml:space="preserve">среднего бизнеса </w:t>
      </w:r>
      <w:r w:rsidRPr="008E2B2E">
        <w:t xml:space="preserve">за счет средств частных и институциональных инвесторов, что будет способствовать большему развитию </w:t>
      </w:r>
      <w:r>
        <w:t>СМСП</w:t>
      </w:r>
      <w:r w:rsidRPr="008E2B2E">
        <w:t xml:space="preserve"> и развитию инструментов фондового рынка в Казахстане,</w:t>
      </w:r>
      <w:r>
        <w:t xml:space="preserve"> </w:t>
      </w:r>
      <w:r w:rsidR="00203225" w:rsidRPr="00203225">
        <w:t>постановлением Правительства РК от 2 февраля 2022 года №43 утверждены правила</w:t>
      </w:r>
      <w:r w:rsidR="00203225">
        <w:t xml:space="preserve"> гарантирования облигаций. Данный </w:t>
      </w:r>
      <w:r w:rsidRPr="006C217A">
        <w:t xml:space="preserve">механизм государственной поддержки </w:t>
      </w:r>
      <w:r w:rsidR="00203225">
        <w:t>предполагает предоставление инструмента</w:t>
      </w:r>
      <w:r w:rsidRPr="006C217A">
        <w:t xml:space="preserve"> гарантирования </w:t>
      </w:r>
      <w:r w:rsidR="00203225">
        <w:t xml:space="preserve">по </w:t>
      </w:r>
      <w:r w:rsidRPr="006C217A">
        <w:t>корпоративны</w:t>
      </w:r>
      <w:r w:rsidR="00203225">
        <w:t>м</w:t>
      </w:r>
      <w:r w:rsidRPr="006C217A">
        <w:t xml:space="preserve"> облигаци</w:t>
      </w:r>
      <w:r w:rsidR="00203225">
        <w:t>ям</w:t>
      </w:r>
      <w:r w:rsidRPr="001719F5">
        <w:t xml:space="preserve"> предпринимателя, </w:t>
      </w:r>
      <w:r w:rsidR="00203225">
        <w:t>выпускаем</w:t>
      </w:r>
      <w:r>
        <w:t>ы</w:t>
      </w:r>
      <w:r w:rsidR="00203225">
        <w:t>х</w:t>
      </w:r>
      <w:r>
        <w:t xml:space="preserve"> на площадке</w:t>
      </w:r>
      <w:r w:rsidRPr="001719F5">
        <w:t xml:space="preserve"> АО «Казахстанская фондовая биржа» (далее - </w:t>
      </w:r>
      <w:r w:rsidRPr="001719F5">
        <w:rPr>
          <w:lang w:val="en-US"/>
        </w:rPr>
        <w:t>KASE</w:t>
      </w:r>
      <w:r w:rsidRPr="001719F5">
        <w:t>)</w:t>
      </w:r>
      <w:r>
        <w:t xml:space="preserve">/ Международный финансовый центр «Астана» (далее - МФЦА). </w:t>
      </w:r>
      <w:r w:rsidRPr="006C217A">
        <w:t xml:space="preserve">Основная идея заключается в формировании эффективного канала финансирования субъектов среднего бизнеса за счет средств частных и институциональных инвесторов. </w:t>
      </w:r>
      <w:r w:rsidR="00203225">
        <w:t>Механизм разработан с</w:t>
      </w:r>
      <w:r w:rsidRPr="006C217A">
        <w:rPr>
          <w:rFonts w:eastAsia="Calibri"/>
        </w:rPr>
        <w:t xml:space="preserve"> целью реализации государственной политики по развитию фондового рынка, как альтернативного канала финансирования экономики, </w:t>
      </w:r>
      <w:r w:rsidR="00203225">
        <w:rPr>
          <w:rFonts w:eastAsia="Calibri"/>
        </w:rPr>
        <w:t xml:space="preserve">в этой связи </w:t>
      </w:r>
      <w:r w:rsidRPr="006C217A">
        <w:rPr>
          <w:rFonts w:eastAsia="Calibri"/>
        </w:rPr>
        <w:t xml:space="preserve">необходимо комплексное взаимодействие государственных органов, институтов развития, представителя инфраструктуры, институциональных инвесторов. </w:t>
      </w:r>
    </w:p>
    <w:p w14:paraId="4EB02DB0" w14:textId="47CEFD84" w:rsidR="0004313E" w:rsidRDefault="0004313E" w:rsidP="00203225">
      <w:pPr>
        <w:ind w:firstLine="709"/>
        <w:jc w:val="both"/>
        <w:rPr>
          <w:lang w:eastAsia="ar-SA"/>
        </w:rPr>
      </w:pPr>
      <w:r w:rsidRPr="001719F5">
        <w:rPr>
          <w:lang w:eastAsia="ar-SA"/>
        </w:rPr>
        <w:lastRenderedPageBreak/>
        <w:t>Данная мера поддержки позволит предпринимателям повысить эффективность и уровень корпоративного и институционального развития</w:t>
      </w:r>
      <w:r w:rsidR="00203225">
        <w:rPr>
          <w:lang w:eastAsia="ar-SA"/>
        </w:rPr>
        <w:t xml:space="preserve"> и</w:t>
      </w:r>
      <w:r w:rsidR="00203225" w:rsidRPr="00203225">
        <w:rPr>
          <w:rFonts w:eastAsia="Calibri"/>
        </w:rPr>
        <w:t xml:space="preserve"> </w:t>
      </w:r>
      <w:r w:rsidR="00203225" w:rsidRPr="006C217A">
        <w:rPr>
          <w:rFonts w:eastAsia="Calibri"/>
        </w:rPr>
        <w:t xml:space="preserve">будет способствовать привлечению субъектов среднего бизнеса и развитию </w:t>
      </w:r>
      <w:r w:rsidR="00203225" w:rsidRPr="006C217A">
        <w:t>инструментов фондового рынка в Казахстане</w:t>
      </w:r>
      <w:r w:rsidRPr="001719F5">
        <w:rPr>
          <w:lang w:eastAsia="ar-SA"/>
        </w:rPr>
        <w:t xml:space="preserve">. </w:t>
      </w:r>
    </w:p>
    <w:p w14:paraId="4F0D20EC" w14:textId="77777777" w:rsidR="0004313E" w:rsidRDefault="0004313E" w:rsidP="0004313E">
      <w:pPr>
        <w:ind w:firstLine="426"/>
        <w:jc w:val="both"/>
        <w:rPr>
          <w:b/>
          <w:bCs/>
        </w:rPr>
      </w:pPr>
    </w:p>
    <w:p w14:paraId="691DAEAE" w14:textId="6C196E62" w:rsidR="00014C1A" w:rsidRDefault="00F45621">
      <w:pPr>
        <w:ind w:firstLine="426"/>
        <w:jc w:val="both"/>
      </w:pPr>
      <w:r>
        <w:rPr>
          <w:b/>
          <w:bCs/>
        </w:rPr>
        <w:t xml:space="preserve">4) </w:t>
      </w:r>
      <w:r w:rsidR="00003B0B">
        <w:rPr>
          <w:b/>
          <w:bCs/>
        </w:rPr>
        <w:t xml:space="preserve">Финансирование и гарантирование кредитов/ микрокредитов по Программе </w:t>
      </w:r>
      <w:r w:rsidR="00F738D1" w:rsidRPr="00F738D1">
        <w:rPr>
          <w:b/>
          <w:color w:val="auto"/>
        </w:rPr>
        <w:t>«Еңбек»</w:t>
      </w:r>
      <w:r w:rsidR="00003B0B">
        <w:rPr>
          <w:b/>
          <w:bCs/>
        </w:rPr>
        <w:t>.</w:t>
      </w:r>
    </w:p>
    <w:p w14:paraId="32C334A9" w14:textId="4EF67361" w:rsidR="00014C1A" w:rsidRDefault="00003B0B">
      <w:pPr>
        <w:ind w:firstLine="426"/>
        <w:jc w:val="both"/>
      </w:pPr>
      <w:r>
        <w:t xml:space="preserve">Целью данной Программы </w:t>
      </w:r>
      <w:r w:rsidR="00F738D1">
        <w:t xml:space="preserve">развития продуктивной занятости и массового предпринимательства </w:t>
      </w:r>
      <w:r w:rsidR="00F738D1" w:rsidRPr="00EC6B6B">
        <w:rPr>
          <w:color w:val="auto"/>
        </w:rPr>
        <w:t>на 2017 – 2021 годы «Еңбек»</w:t>
      </w:r>
      <w:r w:rsidR="00F738D1">
        <w:rPr>
          <w:color w:val="auto"/>
        </w:rPr>
        <w:t xml:space="preserve"> </w:t>
      </w:r>
      <w:r>
        <w:t>явля</w:t>
      </w:r>
      <w:r w:rsidR="00716842">
        <w:t>лось</w:t>
      </w:r>
      <w:r>
        <w:t xml:space="preserve"> содействие продуктивной занятости населения и вовлечение граждан в предпринимательство. Программа </w:t>
      </w:r>
      <w:r w:rsidR="00716842">
        <w:t xml:space="preserve">была </w:t>
      </w:r>
      <w:r>
        <w:t>ориентирована на создание эффективной системы получения востребованных на рынке труда профессиональных навыков и квалификаций, развитие массового предпринимательства, создание эффективной модели трудового посредничества, включая поддержку социально уязвимых групп населения. Оператором данной Программы явля</w:t>
      </w:r>
      <w:r w:rsidR="00716842">
        <w:t>л</w:t>
      </w:r>
      <w:r>
        <w:t xml:space="preserve">ся Фонд «Даму», задача которого </w:t>
      </w:r>
      <w:r w:rsidR="00716842">
        <w:t xml:space="preserve">была </w:t>
      </w:r>
      <w:r>
        <w:t>осуществить фондирование микрофинансовых организаций, кредитных товариществ и банков второго уровня для дальнейшего предоставления ими микрокредитов участникам в городах (кроме малых городов) для создания новых микро предприятий, расширения существующего бизнеса. Успешный опыт развитых стран мира наглядно свидетельствует о том, что развитие микрокредитования повышает эффективность и масштабы предпринимательства, способствуя решению вопросов занятости и созданию новых рабочих мест.</w:t>
      </w:r>
    </w:p>
    <w:p w14:paraId="40B056A6" w14:textId="77777777" w:rsidR="00CA4F9D" w:rsidRDefault="00CA4F9D">
      <w:pPr>
        <w:ind w:firstLine="426"/>
        <w:jc w:val="both"/>
      </w:pPr>
    </w:p>
    <w:p w14:paraId="48961083" w14:textId="6E38FAF4" w:rsidR="00E21218" w:rsidRPr="00E21218" w:rsidRDefault="00BA5068" w:rsidP="00E21218">
      <w:pPr>
        <w:ind w:left="566"/>
        <w:contextualSpacing/>
        <w:jc w:val="both"/>
        <w:rPr>
          <w:b/>
          <w:bCs/>
          <w:color w:val="0070C0"/>
        </w:rPr>
      </w:pPr>
      <w:r>
        <w:rPr>
          <w:b/>
          <w:bCs/>
        </w:rPr>
        <w:t xml:space="preserve">5) </w:t>
      </w:r>
      <w:r w:rsidR="00E21218" w:rsidRPr="002C7148">
        <w:rPr>
          <w:b/>
          <w:bCs/>
        </w:rPr>
        <w:t>Развитие программы исламского финансирования</w:t>
      </w:r>
      <w:r w:rsidR="00E21218" w:rsidRPr="002C7148">
        <w:rPr>
          <w:b/>
          <w:bCs/>
          <w:color w:val="0070C0"/>
        </w:rPr>
        <w:t xml:space="preserve"> </w:t>
      </w:r>
    </w:p>
    <w:p w14:paraId="40043E8B" w14:textId="77777777" w:rsidR="00E21218" w:rsidRPr="00DE01D7" w:rsidRDefault="00E21218" w:rsidP="00E21218">
      <w:pPr>
        <w:ind w:firstLine="709"/>
        <w:contextualSpacing/>
        <w:jc w:val="both"/>
      </w:pPr>
      <w:r w:rsidRPr="00DE01D7">
        <w:t xml:space="preserve">Согласно выступлению Первого Президента Республики, Казахстан на 38-й сессии Совета министров иностранных дел Организации Исламского Сотрудничества 28 июня 2011 года: «Казахстан открыл у себя Исламский банк. Мы активно продвигаем исламское финансирование и создание бенчмаркинга исламских финансовых инструментов в регионе. Предлагаю развивать Алматы в качестве регионального финансового центра, использующего исламское финансирование». </w:t>
      </w:r>
    </w:p>
    <w:p w14:paraId="7DE022E0" w14:textId="77777777" w:rsidR="00E21218" w:rsidRPr="00DE01D7" w:rsidRDefault="00E21218" w:rsidP="00E21218">
      <w:pPr>
        <w:ind w:firstLine="709"/>
        <w:contextualSpacing/>
        <w:jc w:val="both"/>
      </w:pPr>
      <w:r w:rsidRPr="00DE01D7">
        <w:t xml:space="preserve">Исламское финансирование основано на требованиях шариата. Шариат запрещает предоставлять заем под ссудный процент или любое вознаграждение от заемщика. Шариат запрещает расточительство. Деньги при исламском финансировании могут использоваться только как мера стоимости товара, но не как сам товар. Шариат разрешает продажу какого-либо товара или актива с рассрочкой платежа и добавлением наценки на товар. </w:t>
      </w:r>
    </w:p>
    <w:p w14:paraId="1AA6D70D" w14:textId="77777777" w:rsidR="00E21218" w:rsidRPr="00DE01D7" w:rsidRDefault="00E21218" w:rsidP="00E21218">
      <w:pPr>
        <w:ind w:firstLine="709"/>
        <w:contextualSpacing/>
        <w:jc w:val="both"/>
      </w:pPr>
      <w:r w:rsidRPr="00DE01D7">
        <w:t>Другое отличие исламских кредитных организаций от обычных – запрещено пользоваться бедственным положением должника для получения дополнительных благ. Коран советует дать отсрочку, пока положение человека, взявшего взаймы, не улучшится, поощряет прощение долгов. Поэтому организации не накладывают на клиента санкции, штрафы, пени, взыскания. Тех, кто просрочил выплату по рассрочке или ипотечному кредитованию, не будут беспокоить коллекторы и суды. Единственное, обяжут клиента сделать пожертвование на благотворительность, если он просрочит кредит. Именно такое мягкое отношения и привлекает людей, стимулируя их брать взаймы у исламских кредитных организаций.</w:t>
      </w:r>
    </w:p>
    <w:p w14:paraId="0D94C1F3" w14:textId="77777777" w:rsidR="00E21218" w:rsidRPr="00DE01D7" w:rsidRDefault="00E21218" w:rsidP="00E21218">
      <w:pPr>
        <w:ind w:firstLine="709"/>
        <w:contextualSpacing/>
        <w:jc w:val="both"/>
      </w:pPr>
      <w:r w:rsidRPr="00DE01D7">
        <w:t xml:space="preserve">При исламском финансировании деньги используются для купли-продажи реальных активов, которые уже существуют на момент заключения договора. В этой связи, вопреки прогнозам исламское финансирование сумело устоять даже в условиях жесткого мирового финансового кризиса. Вместе с тем, роль и значимость исламского финансирования в последние годы выросли по всему миру. </w:t>
      </w:r>
    </w:p>
    <w:p w14:paraId="579D33C8" w14:textId="77777777" w:rsidR="00D22D3E" w:rsidRPr="00725C86" w:rsidRDefault="00D22D3E" w:rsidP="00725C86">
      <w:pPr>
        <w:ind w:firstLine="709"/>
        <w:contextualSpacing/>
        <w:jc w:val="both"/>
      </w:pPr>
      <w:r w:rsidRPr="00725C86">
        <w:t xml:space="preserve">В рамках этой тенденции в 2020 году Фондом внедрена программа по исламскому финансированию из собственных средств, как одной из стратегических направлений деятельности Фонда. Выделение средств осуществляется Фондом исходя из потребности в финансировании потенциальных контрагентов – участников программы АО </w:t>
      </w:r>
      <w:r w:rsidRPr="00725C86">
        <w:lastRenderedPageBreak/>
        <w:t>«Казахстанская Иджара Компания», АО «Банк Al Hilal» и др. Данный проект является пилотным в Казахстане, его реализация даст импульс развитию исламского финансирования в Казахстане, у предпринимателей появится возможность получения альтернативного финансирования для развития бизнеса. Финансовую поддержку получают СМСП, осуществляющие деятельность и реализующие проекты в соответствии с шариатом. В практике наших партнеров основном используются два инструмента финансирования: кредит (мурабаха) и иджара. При финансировании при мурабахе заемщик получает в конечном итоге наличное финансирование, а иджара – аналог традиционного лизинга В практике наших партнеров основном используются два инструмента финансирования: мурабаха (кредит) и иджара (лизинг). При мурабахе заемщик получает в конечном итоге наличное финансирование или актив в рассрочку.</w:t>
      </w:r>
    </w:p>
    <w:p w14:paraId="6869CCCE" w14:textId="30A56C88" w:rsidR="00E21218" w:rsidRDefault="00D22D3E" w:rsidP="00725C86">
      <w:pPr>
        <w:ind w:firstLine="709"/>
        <w:contextualSpacing/>
        <w:jc w:val="both"/>
      </w:pPr>
      <w:r w:rsidRPr="00725C86">
        <w:t>Средства до ММСП планируется доводить через исламские банки второго уровня и лизинговые компании</w:t>
      </w:r>
      <w:r w:rsidR="00E21218" w:rsidRPr="00DE01D7">
        <w:t>.</w:t>
      </w:r>
    </w:p>
    <w:p w14:paraId="35B3A314" w14:textId="77777777" w:rsidR="00A17503" w:rsidRDefault="00A17503" w:rsidP="00725C86">
      <w:pPr>
        <w:ind w:firstLine="709"/>
        <w:contextualSpacing/>
        <w:jc w:val="both"/>
      </w:pPr>
    </w:p>
    <w:p w14:paraId="1AE6BC20" w14:textId="7BF8E4D2" w:rsidR="00E21218" w:rsidRPr="002C7148" w:rsidRDefault="00BA5068" w:rsidP="00E21218">
      <w:pPr>
        <w:ind w:firstLine="567"/>
        <w:jc w:val="both"/>
        <w:rPr>
          <w:rFonts w:eastAsia="Arial Unicode MS"/>
          <w:b/>
        </w:rPr>
      </w:pPr>
      <w:r>
        <w:rPr>
          <w:rFonts w:eastAsia="Arial Unicode MS"/>
          <w:b/>
        </w:rPr>
        <w:t xml:space="preserve">6) </w:t>
      </w:r>
      <w:r w:rsidR="00E21218" w:rsidRPr="002C7148">
        <w:rPr>
          <w:rFonts w:eastAsia="Arial Unicode MS"/>
          <w:b/>
        </w:rPr>
        <w:t>Финансирование за счет привлеченных средств от выпуска облигаций</w:t>
      </w:r>
    </w:p>
    <w:p w14:paraId="4817BD3B" w14:textId="66A0E4AB" w:rsidR="00E21218" w:rsidRPr="00DE01D7" w:rsidRDefault="00544880" w:rsidP="00E21218">
      <w:pPr>
        <w:ind w:firstLine="567"/>
        <w:contextualSpacing/>
        <w:jc w:val="both"/>
      </w:pPr>
      <w:r>
        <w:t xml:space="preserve">В рамках </w:t>
      </w:r>
      <w:r w:rsidR="00E21218" w:rsidRPr="000E3A13">
        <w:t>выпущен</w:t>
      </w:r>
      <w:r>
        <w:t>н</w:t>
      </w:r>
      <w:r w:rsidR="00E21218" w:rsidRPr="000E3A13">
        <w:t>ы</w:t>
      </w:r>
      <w:r>
        <w:t>х Фондом</w:t>
      </w:r>
      <w:r w:rsidR="00E21218" w:rsidRPr="000E3A13">
        <w:t xml:space="preserve"> «зелены</w:t>
      </w:r>
      <w:r>
        <w:t>х</w:t>
      </w:r>
      <w:r w:rsidR="00E21218" w:rsidRPr="000E3A13">
        <w:t xml:space="preserve"> облигаци</w:t>
      </w:r>
      <w:r>
        <w:t>й</w:t>
      </w:r>
      <w:r w:rsidR="00E21218" w:rsidRPr="000E3A13">
        <w:t xml:space="preserve">» </w:t>
      </w:r>
      <w:r>
        <w:t xml:space="preserve">была разработана программа </w:t>
      </w:r>
      <w:r w:rsidR="009A6EBE">
        <w:rPr>
          <w:rStyle w:val="s0"/>
        </w:rPr>
        <w:t>для о</w:t>
      </w:r>
      <w:r>
        <w:rPr>
          <w:rStyle w:val="s0"/>
        </w:rPr>
        <w:t>бусловленно</w:t>
      </w:r>
      <w:r w:rsidR="009A6EBE">
        <w:rPr>
          <w:rStyle w:val="s0"/>
        </w:rPr>
        <w:t>го</w:t>
      </w:r>
      <w:r>
        <w:rPr>
          <w:rStyle w:val="s0"/>
        </w:rPr>
        <w:t xml:space="preserve"> размещени</w:t>
      </w:r>
      <w:r w:rsidR="009A6EBE">
        <w:rPr>
          <w:rStyle w:val="s0"/>
        </w:rPr>
        <w:t>я</w:t>
      </w:r>
      <w:r>
        <w:rPr>
          <w:rStyle w:val="s0"/>
        </w:rPr>
        <w:t xml:space="preserve"> средств в </w:t>
      </w:r>
      <w:r w:rsidR="009A6EBE">
        <w:rPr>
          <w:rStyle w:val="s0"/>
        </w:rPr>
        <w:t>БВУ/МФО</w:t>
      </w:r>
      <w:r>
        <w:rPr>
          <w:rStyle w:val="s0"/>
        </w:rPr>
        <w:t>, для последующего финансирования сделок субъектов микро-, малого и среднего частного предпринимательства, в рамках проекта ПРООН-ГЭФ «Снижение рисков инвестирования в возобновляемые источники энергии» (ВИЭ)</w:t>
      </w:r>
      <w:r>
        <w:t xml:space="preserve">». Средства размещены </w:t>
      </w:r>
      <w:r w:rsidR="00E21218" w:rsidRPr="000E3A13">
        <w:t xml:space="preserve">в </w:t>
      </w:r>
      <w:r w:rsidR="009A6EBE">
        <w:t>БВУ</w:t>
      </w:r>
      <w:r w:rsidR="00E21218" w:rsidRPr="000E3A13">
        <w:t xml:space="preserve"> и направлены на внедрение технологий возобновляемых источников энергии.</w:t>
      </w:r>
      <w:r>
        <w:t xml:space="preserve"> </w:t>
      </w:r>
      <w:r w:rsidR="00E21218" w:rsidRPr="00DE01D7">
        <w:t>Фонд планирует реализовывать и другие продукты по финансированию «зеленых» проектов, которые будут также инвестиционно привлекательны для СМСП. Тем более, что отечественные предприятия постепенно переводят производства в более экологичное русло, используя инициативы по защите окружающей среды и зеленые технологии. Реализация таких проектов оказывает содействие в обновлении основных фондов СМСП.</w:t>
      </w:r>
    </w:p>
    <w:p w14:paraId="4FAFD27D" w14:textId="4BD178A8" w:rsidR="00E21218" w:rsidRDefault="000C2694" w:rsidP="00E21218">
      <w:pPr>
        <w:ind w:firstLine="567"/>
        <w:contextualSpacing/>
        <w:jc w:val="both"/>
      </w:pPr>
      <w:r>
        <w:t>С</w:t>
      </w:r>
      <w:r w:rsidR="00E21218" w:rsidRPr="00DE01D7">
        <w:t>редства</w:t>
      </w:r>
      <w:r>
        <w:t>,</w:t>
      </w:r>
      <w:r w:rsidR="00E21218" w:rsidRPr="00DE01D7">
        <w:t xml:space="preserve"> </w:t>
      </w:r>
      <w:r>
        <w:t>п</w:t>
      </w:r>
      <w:r w:rsidRPr="00DE01D7">
        <w:t>ривлеченные</w:t>
      </w:r>
      <w:r>
        <w:t xml:space="preserve"> </w:t>
      </w:r>
      <w:r w:rsidR="00B85462">
        <w:t xml:space="preserve">Фондом </w:t>
      </w:r>
      <w:r>
        <w:t>за счет выпуска «социальных облигаций» были направлены</w:t>
      </w:r>
      <w:r w:rsidR="009A6EBE">
        <w:t xml:space="preserve"> в рамках программ о</w:t>
      </w:r>
      <w:r w:rsidR="009A6EBE">
        <w:rPr>
          <w:rStyle w:val="s0"/>
        </w:rPr>
        <w:t>бусловленного размещения средств в БВУ</w:t>
      </w:r>
      <w:r>
        <w:t xml:space="preserve"> </w:t>
      </w:r>
      <w:r w:rsidR="00E21218" w:rsidRPr="00DE01D7">
        <w:t>на финансирование СМСП в условиях пандемии COVID-19, с возможностью сохранения и/или создания рабочих мест. Целевой аудиторией явл</w:t>
      </w:r>
      <w:r w:rsidR="00CF3A74">
        <w:t>я</w:t>
      </w:r>
      <w:r w:rsidR="00B85462">
        <w:t>ют</w:t>
      </w:r>
      <w:r w:rsidR="00E21218" w:rsidRPr="00DE01D7">
        <w:t xml:space="preserve">ся предприниматели, осуществляющие деятельность по перечню видов деятельности согласно Приложения 1 к Постановлению Правительства Республики Казахстан от 20 апреля 2020 года №224 «О дальнейших мерах по реализации Указа Президента Республики Казахстан от 16 марта 2020 года № 287 «О дальнейших мерах по стабилизации экономики» по вопросам налогообложения». </w:t>
      </w:r>
    </w:p>
    <w:p w14:paraId="3E0EAC35" w14:textId="77777777" w:rsidR="006907B5" w:rsidRPr="00DE01D7" w:rsidRDefault="006907B5" w:rsidP="00E21218">
      <w:pPr>
        <w:ind w:firstLine="567"/>
        <w:contextualSpacing/>
        <w:jc w:val="both"/>
      </w:pPr>
    </w:p>
    <w:p w14:paraId="05C7FD02" w14:textId="5FB52A3A" w:rsidR="00014C1A" w:rsidRDefault="00BA5068">
      <w:pPr>
        <w:ind w:firstLine="426"/>
        <w:jc w:val="both"/>
      </w:pPr>
      <w:r>
        <w:rPr>
          <w:b/>
          <w:bCs/>
        </w:rPr>
        <w:t xml:space="preserve">7) </w:t>
      </w:r>
      <w:r w:rsidR="008B45EF">
        <w:rPr>
          <w:b/>
          <w:bCs/>
        </w:rPr>
        <w:t>В</w:t>
      </w:r>
      <w:r w:rsidR="00003B0B">
        <w:rPr>
          <w:b/>
          <w:bCs/>
        </w:rPr>
        <w:t>недрение Программы финансирование сделок по приобретению интеллектуальной собственности.</w:t>
      </w:r>
    </w:p>
    <w:p w14:paraId="226CBD66" w14:textId="3AA498BD" w:rsidR="000C0187" w:rsidRDefault="00003B0B" w:rsidP="000C0187">
      <w:pPr>
        <w:ind w:firstLine="426"/>
        <w:jc w:val="both"/>
      </w:pPr>
      <w:r>
        <w:t>На сегодня трансферт передовых зарубежных технологий принято считать одним из самых эффективных инструментов перехода к инновационной экономике, а также это возможность выполнить задачи по импортозамещению без ущерба в качестве для потребителя. В рамках стимулирования процесса по трансферту технологий, Фондом в рамках Стратегии будет разработана Программа, направленная на поддержку проектов по приобретению интеллектуальной собственности (патент, ноу хау и т.д.). Программа будет предусматривать оказание комплексных мер поддержки проектов по приобретению интеллектуальной собственности, дополняя пакет инструментов, предоставляемый ДО АО «НУХ «Байтерек» АО «Национальное агентство по технологическому развитию». Привлечение успешно используемых технологий даст возможность предпринимателям существенно повысить производительность труда, конкурентоспособность, и предоставит возможность встраиваться в глобальные цепочки производства и сбыта товаров и услуг.</w:t>
      </w:r>
    </w:p>
    <w:p w14:paraId="57845A88" w14:textId="77777777" w:rsidR="002C3E45" w:rsidRPr="00E21218" w:rsidRDefault="002C3E45" w:rsidP="000C0187">
      <w:pPr>
        <w:ind w:firstLine="426"/>
        <w:jc w:val="both"/>
      </w:pPr>
    </w:p>
    <w:p w14:paraId="4E23B281" w14:textId="609C2E5B" w:rsidR="00014C1A" w:rsidRDefault="00BA5068">
      <w:pPr>
        <w:ind w:firstLine="426"/>
        <w:jc w:val="both"/>
      </w:pPr>
      <w:r>
        <w:rPr>
          <w:b/>
          <w:bCs/>
        </w:rPr>
        <w:lastRenderedPageBreak/>
        <w:t xml:space="preserve">8) </w:t>
      </w:r>
      <w:r w:rsidR="008B45EF">
        <w:rPr>
          <w:b/>
          <w:bCs/>
        </w:rPr>
        <w:t>В</w:t>
      </w:r>
      <w:r w:rsidR="00003B0B" w:rsidRPr="00E21218">
        <w:rPr>
          <w:b/>
          <w:bCs/>
        </w:rPr>
        <w:t>недрение</w:t>
      </w:r>
      <w:r w:rsidR="00003B0B">
        <w:rPr>
          <w:b/>
          <w:bCs/>
        </w:rPr>
        <w:t xml:space="preserve"> Программы финансирования электронной коммерции, цифровые платформы и их экосистемы.</w:t>
      </w:r>
    </w:p>
    <w:p w14:paraId="4A83DB06" w14:textId="414C9050" w:rsidR="00014C1A" w:rsidRDefault="00003B0B">
      <w:pPr>
        <w:ind w:firstLine="426"/>
        <w:jc w:val="both"/>
      </w:pPr>
      <w:r>
        <w:t>В современном мире цифровые технологии играют все более важную роль в развитии экономики стран. В рамках реализации приоритета по технологической модернизации Республики Казахстан (Послание Президента Республики Казахстан Н. Назарбаева народу Казахстана от 31 января 2017 года «Третья модернизация Казахстана: глобальная конкурентоспособность») необходимо развивать новые индустрии, которые создаются с применением цифровых технологий. Также в рамках государственной программы «Цифровой Казахстан» прогнозируется достижение доли сектора цифровых технологий в ВВП Казахстана к 2020 году до 4,85%. Несмотря на наличие инфраструктурных платформ в виде акселераторов и технопарков, где идеи по инновационным проектам взращиваются до прототипов, для реализации подобных проектов в жизнь необходимо наличие финансовых инструментов поддержки.</w:t>
      </w:r>
    </w:p>
    <w:p w14:paraId="3EA6CD67" w14:textId="0CF8E066" w:rsidR="00014C1A" w:rsidRDefault="00003B0B" w:rsidP="004C4629">
      <w:pPr>
        <w:ind w:firstLine="426"/>
        <w:jc w:val="both"/>
      </w:pPr>
      <w:r>
        <w:t>В рамках поддержки развития новых индустрии, которые создаются с применением цифровых технологий, а также с целью активизации развития таких перспективных отраслей, как 3</w:t>
      </w:r>
      <w:r>
        <w:rPr>
          <w:lang w:val="en-US"/>
        </w:rPr>
        <w:t>D</w:t>
      </w:r>
      <w:r>
        <w:t>-принтинг, онлайн-торговля, мобильный банкинг, цифровые сервисы, в том числе в здравоохранении и образовании и в других секторах экономики, Фонд планирует разработать и реализовывать Программу финансирования электронной коммерции, цифровых платформ и их экосистем. Основной целью реализации данной программы будет повсеместное внедрение цифровых технологий для повышения конкурентоспособности различных отраслей экономики Казахстана.</w:t>
      </w:r>
    </w:p>
    <w:p w14:paraId="0D1D5D7F" w14:textId="77777777" w:rsidR="002C3E45" w:rsidRDefault="002C3E45">
      <w:pPr>
        <w:ind w:firstLine="426"/>
        <w:jc w:val="both"/>
      </w:pPr>
    </w:p>
    <w:p w14:paraId="2022BA18" w14:textId="0453A7A6" w:rsidR="00014C1A" w:rsidRPr="00507A95" w:rsidRDefault="00BA5068" w:rsidP="001D35C7">
      <w:pPr>
        <w:ind w:firstLine="426"/>
        <w:jc w:val="both"/>
      </w:pPr>
      <w:r>
        <w:rPr>
          <w:b/>
          <w:bCs/>
        </w:rPr>
        <w:t xml:space="preserve">9) </w:t>
      </w:r>
      <w:r w:rsidR="00003B0B" w:rsidRPr="00823C05">
        <w:rPr>
          <w:b/>
          <w:bCs/>
        </w:rPr>
        <w:t xml:space="preserve">Разработка и внедрение Супермаркет </w:t>
      </w:r>
      <w:r w:rsidR="00003B0B" w:rsidRPr="00823C05">
        <w:rPr>
          <w:b/>
          <w:bCs/>
          <w:lang w:val="de-DE"/>
        </w:rPr>
        <w:t>Digital DAMU.</w:t>
      </w:r>
    </w:p>
    <w:p w14:paraId="6F49DDBE" w14:textId="79C44537" w:rsidR="00014C1A" w:rsidRPr="00823C05" w:rsidRDefault="00003B0B" w:rsidP="00E43BA2">
      <w:pPr>
        <w:ind w:firstLine="426"/>
        <w:jc w:val="both"/>
      </w:pPr>
      <w:r w:rsidRPr="00404EF7">
        <w:t xml:space="preserve">Супермаркет </w:t>
      </w:r>
      <w:r w:rsidRPr="007A1E0D">
        <w:rPr>
          <w:lang w:val="de-DE"/>
        </w:rPr>
        <w:t xml:space="preserve">Digital Damu </w:t>
      </w:r>
      <w:r w:rsidRPr="00C90114">
        <w:t>направлен на предоставление услуг субъектам частного предпринимательства в рамках поддержки и развития предпринимательства посредством принципов «единого окна» с предоставлением СЧП инструментов для самообслуживания.</w:t>
      </w:r>
    </w:p>
    <w:p w14:paraId="7FCCB69C" w14:textId="1194569B" w:rsidR="00014C1A" w:rsidRPr="00823C05" w:rsidRDefault="00003B0B">
      <w:pPr>
        <w:ind w:firstLine="426"/>
        <w:jc w:val="both"/>
      </w:pPr>
      <w:r w:rsidRPr="00823C05">
        <w:t xml:space="preserve">Супермаркет </w:t>
      </w:r>
      <w:r w:rsidRPr="00823C05">
        <w:rPr>
          <w:lang w:val="en-US"/>
        </w:rPr>
        <w:t>Digital</w:t>
      </w:r>
      <w:r w:rsidRPr="00823C05">
        <w:t xml:space="preserve"> </w:t>
      </w:r>
      <w:r w:rsidRPr="00823C05">
        <w:rPr>
          <w:lang w:val="en-US"/>
        </w:rPr>
        <w:t>Damu</w:t>
      </w:r>
      <w:r w:rsidRPr="00823C05">
        <w:t xml:space="preserve"> представляет собой электронную площадку с применением новейших достижений средств информационных технологий. Гибкая конструкция платформы </w:t>
      </w:r>
      <w:r w:rsidRPr="00823C05">
        <w:rPr>
          <w:lang w:val="en-US"/>
        </w:rPr>
        <w:t>Digital</w:t>
      </w:r>
      <w:r w:rsidRPr="00823C05">
        <w:t xml:space="preserve"> </w:t>
      </w:r>
      <w:r w:rsidRPr="00823C05">
        <w:rPr>
          <w:lang w:val="en-US"/>
        </w:rPr>
        <w:t>Damu</w:t>
      </w:r>
      <w:r w:rsidRPr="00823C05">
        <w:t xml:space="preserve"> позволит проведение диагностики и таргетирование по заданным критериям СЧП с целью предоставить ему возможности выбрать оптимальную программу для развития из «продуктовой корзины» программ и базы знаний.</w:t>
      </w:r>
    </w:p>
    <w:p w14:paraId="6B8670C9" w14:textId="16B1E322" w:rsidR="00014C1A" w:rsidRPr="00823C05" w:rsidRDefault="00003B0B">
      <w:pPr>
        <w:ind w:firstLine="426"/>
        <w:jc w:val="both"/>
      </w:pPr>
      <w:r w:rsidRPr="00823C05">
        <w:t xml:space="preserve">Комплексная услуга в рамках реализации концепции </w:t>
      </w:r>
      <w:r w:rsidRPr="00823C05">
        <w:rPr>
          <w:lang w:val="en-US"/>
        </w:rPr>
        <w:t>Digital</w:t>
      </w:r>
      <w:r w:rsidRPr="00823C05">
        <w:t xml:space="preserve"> </w:t>
      </w:r>
      <w:r w:rsidRPr="00823C05">
        <w:rPr>
          <w:lang w:val="en-US"/>
        </w:rPr>
        <w:t>Damu</w:t>
      </w:r>
      <w:r w:rsidRPr="00823C05">
        <w:t xml:space="preserve"> позволит СЧП из «единого окна» получить ответ от БВУ, Фонда и МИО по оставленной им заявке на портале.</w:t>
      </w:r>
    </w:p>
    <w:p w14:paraId="1FA1C170" w14:textId="6E0CBEA3" w:rsidR="00014C1A" w:rsidRPr="00823C05" w:rsidRDefault="00003B0B">
      <w:pPr>
        <w:ind w:firstLine="426"/>
        <w:jc w:val="both"/>
      </w:pPr>
      <w:r w:rsidRPr="00823C05">
        <w:t xml:space="preserve">Супермаркет </w:t>
      </w:r>
      <w:r w:rsidRPr="00823C05">
        <w:rPr>
          <w:lang w:val="en-US"/>
        </w:rPr>
        <w:t>Digital</w:t>
      </w:r>
      <w:r w:rsidRPr="00823C05">
        <w:t xml:space="preserve"> </w:t>
      </w:r>
      <w:r w:rsidRPr="00823C05">
        <w:rPr>
          <w:lang w:val="en-US"/>
        </w:rPr>
        <w:t>Damu</w:t>
      </w:r>
      <w:r w:rsidRPr="00823C05">
        <w:t xml:space="preserve"> предусматривает интеграцию с порталом «Электронного правительства» и получение сведений об СЧП из государственных баз данных, что исключит требование для СЧП предоставление пакета документов на бумажном носителе в БВУ, Фонд и МИО.</w:t>
      </w:r>
    </w:p>
    <w:p w14:paraId="1B86A741" w14:textId="1A32AF62" w:rsidR="00014C1A" w:rsidRDefault="00014C1A">
      <w:pPr>
        <w:ind w:firstLine="426"/>
        <w:jc w:val="both"/>
      </w:pPr>
    </w:p>
    <w:p w14:paraId="3B729F85" w14:textId="4A9DBC52" w:rsidR="00297117" w:rsidRPr="00C9663D" w:rsidRDefault="00297117" w:rsidP="00297117">
      <w:pPr>
        <w:ind w:firstLine="426"/>
        <w:jc w:val="both"/>
      </w:pPr>
      <w:r w:rsidRPr="00297117">
        <w:t xml:space="preserve">В 2019 году был запущен в продуктивную среду портал </w:t>
      </w:r>
      <w:r w:rsidRPr="00297117">
        <w:rPr>
          <w:lang w:val="en-US"/>
        </w:rPr>
        <w:t>Online</w:t>
      </w:r>
      <w:r w:rsidRPr="00297117">
        <w:t xml:space="preserve"> </w:t>
      </w:r>
      <w:r w:rsidRPr="00297117">
        <w:rPr>
          <w:lang w:val="en-US"/>
        </w:rPr>
        <w:t>Damu</w:t>
      </w:r>
      <w:r w:rsidRPr="00297117">
        <w:t xml:space="preserve"> (ранее </w:t>
      </w:r>
      <w:r w:rsidRPr="00297117">
        <w:rPr>
          <w:lang w:val="en-US"/>
        </w:rPr>
        <w:t>Digital</w:t>
      </w:r>
      <w:r w:rsidRPr="00297117">
        <w:t xml:space="preserve"> </w:t>
      </w:r>
      <w:r w:rsidRPr="00297117">
        <w:rPr>
          <w:lang w:val="en-US"/>
        </w:rPr>
        <w:t>Damu</w:t>
      </w:r>
      <w:r w:rsidRPr="00297117">
        <w:t xml:space="preserve">). </w:t>
      </w:r>
      <w:r w:rsidR="00FB29AB" w:rsidRPr="00FB29AB">
        <w:t>На сегодняшний день портал пользуется большим спросом и имеет широкий охват по программа</w:t>
      </w:r>
      <w:r w:rsidR="00C144E8">
        <w:t>м</w:t>
      </w:r>
      <w:r w:rsidR="00FB29AB" w:rsidRPr="00FB29AB">
        <w:t xml:space="preserve"> Фонда. До конца 2023 года планируется интеграция с БВУ по части подачи заявки на кредитование. Также </w:t>
      </w:r>
      <w:r w:rsidR="00E15DC8" w:rsidRPr="00E15DC8">
        <w:t>запланирована</w:t>
      </w:r>
      <w:r w:rsidR="00E15DC8" w:rsidRPr="00FB29AB">
        <w:t xml:space="preserve"> </w:t>
      </w:r>
      <w:r w:rsidR="00FB29AB" w:rsidRPr="00FB29AB">
        <w:t>интеграция с порталом АО «НУХ «Байтерек».</w:t>
      </w:r>
    </w:p>
    <w:p w14:paraId="6B9AA250" w14:textId="77777777" w:rsidR="00297117" w:rsidRDefault="00297117">
      <w:pPr>
        <w:ind w:firstLine="426"/>
        <w:jc w:val="both"/>
      </w:pPr>
    </w:p>
    <w:p w14:paraId="17CB199F" w14:textId="246BD8B2" w:rsidR="00014C1A" w:rsidRDefault="00BA5068">
      <w:pPr>
        <w:ind w:firstLine="426"/>
        <w:jc w:val="both"/>
      </w:pPr>
      <w:r>
        <w:rPr>
          <w:b/>
          <w:bCs/>
        </w:rPr>
        <w:t xml:space="preserve">10) </w:t>
      </w:r>
      <w:r w:rsidR="00003B0B">
        <w:rPr>
          <w:b/>
          <w:bCs/>
        </w:rPr>
        <w:t>Дистанционное обучение.</w:t>
      </w:r>
    </w:p>
    <w:p w14:paraId="65A2944B" w14:textId="257EFE2C" w:rsidR="00014C1A" w:rsidRDefault="00003B0B">
      <w:pPr>
        <w:ind w:firstLine="426"/>
        <w:jc w:val="both"/>
      </w:pPr>
      <w:r>
        <w:t>Дистанционное обучение направлено на стимулирование предпринимательской активности и повышение предпринимательских компетенций населения в регионах Казахстана.</w:t>
      </w:r>
    </w:p>
    <w:p w14:paraId="291FEF8B" w14:textId="77777777" w:rsidR="00014C1A" w:rsidRDefault="00003B0B">
      <w:pPr>
        <w:ind w:firstLine="426"/>
        <w:jc w:val="both"/>
      </w:pPr>
      <w:r>
        <w:t>Целью дистанционного обучения начинающих предпринимателей является дать необходимые знания по основам предпринимательства и привить навыки ведения бизнеса, чтобы потенциальные предприниматели могли заинтересоваться возможностями открытия своего предпринимательского дела.</w:t>
      </w:r>
    </w:p>
    <w:p w14:paraId="4935695C" w14:textId="77777777" w:rsidR="00014C1A" w:rsidRDefault="00003B0B">
      <w:pPr>
        <w:ind w:firstLine="426"/>
        <w:jc w:val="both"/>
      </w:pPr>
      <w:r>
        <w:lastRenderedPageBreak/>
        <w:t>Целью дистанционного обучения действующих предпринимателей является углубление знаний и расширение практических навыков по ведению бизнеса, в том числе по использованию маркетинговых инструментов по увеличению объемов продаж, по отслеживанию результатов финансово-хозяйственной деятельности и по управлению проектами, а также совершенствование и улучшение навыков по построению и управлению работой отдела продаж.</w:t>
      </w:r>
    </w:p>
    <w:p w14:paraId="2117BB4D" w14:textId="68069F76" w:rsidR="00014C1A" w:rsidRDefault="00003B0B">
      <w:pPr>
        <w:ind w:firstLine="426"/>
        <w:jc w:val="both"/>
      </w:pPr>
      <w:r>
        <w:t>Дистанционное обучение предоставит возможность всем желающим непрерывно повышать свой профессиональный уровень независимо от месторасположения учащегося, при единственном условии - наличии интернета. В процессе такого обучения предприниматели самостоятельно осваивают в интерактивном режиме учебно-методические материалы, выполняют практические задания, проходят тестирование. При успешной сдаче тестирования обучающему выдается сертификат о прохождении обучения.</w:t>
      </w:r>
    </w:p>
    <w:p w14:paraId="61207331" w14:textId="5A7CB62F" w:rsidR="00B51B35" w:rsidRDefault="00B51B35">
      <w:pPr>
        <w:ind w:firstLine="426"/>
        <w:jc w:val="both"/>
      </w:pPr>
      <w:r w:rsidRPr="00EA0109">
        <w:t>В настоящее время формат дистанционного обучения Фонда в виде длинных текстов устарел.</w:t>
      </w:r>
      <w:r w:rsidRPr="009E4B1D">
        <w:t xml:space="preserve"> </w:t>
      </w:r>
      <w:r w:rsidRPr="00EA0109">
        <w:t>Развитие Интернета и e-learning привело к тому, что одним из самых популярных форматов дистанционного обучения стали видеоуроки.</w:t>
      </w:r>
      <w:r w:rsidRPr="005B6B79">
        <w:t xml:space="preserve"> Видеоформат позволяет передать максимальное количество информации за минимальный срок, что очень удобно для предпринимателей, занятых открытием или развитием своего бизнеса.</w:t>
      </w:r>
      <w:r w:rsidRPr="005B6B79">
        <w:rPr>
          <w:rFonts w:ascii="Arial" w:hAnsi="Arial" w:cs="Arial"/>
          <w:color w:val="3A486D"/>
          <w:shd w:val="clear" w:color="auto" w:fill="FFFFFF"/>
        </w:rPr>
        <w:t xml:space="preserve"> </w:t>
      </w:r>
      <w:r w:rsidRPr="005B6B79">
        <w:t>При обучении через видеоуроки ученику не нужно много читать или постоянно удерживать концентрацию на речи в аудиолекции. Он может смотреть уроки по пути на работу или в любое удобное ему время и место.</w:t>
      </w:r>
      <w:r>
        <w:t xml:space="preserve"> В связи с этим, в 2022 году Фондом пересмотрен формат дистанционного обучения, запущена</w:t>
      </w:r>
      <w:r w:rsidRPr="00EB3402">
        <w:t xml:space="preserve"> видеоплатформ</w:t>
      </w:r>
      <w:r>
        <w:t>а</w:t>
      </w:r>
      <w:r w:rsidRPr="00EB3402">
        <w:t xml:space="preserve"> обучения для действующих и начинающих предпринимателей, которая будет включа</w:t>
      </w:r>
      <w:r>
        <w:t>ет</w:t>
      </w:r>
      <w:r w:rsidRPr="00EB3402">
        <w:t xml:space="preserve"> в себя множество различных выступлений успешных казахстанских и международных предпринимателей, разделенных на блоки по определенным тематикам.</w:t>
      </w:r>
    </w:p>
    <w:p w14:paraId="01B96954" w14:textId="42DF9C78" w:rsidR="00C2357C" w:rsidRDefault="00C2357C">
      <w:pPr>
        <w:ind w:firstLine="426"/>
        <w:jc w:val="both"/>
      </w:pPr>
    </w:p>
    <w:p w14:paraId="7D0261BC" w14:textId="7E5799EF" w:rsidR="00014C1A" w:rsidRDefault="00003B0B">
      <w:pPr>
        <w:ind w:firstLine="426"/>
        <w:jc w:val="both"/>
      </w:pPr>
      <w:r>
        <w:t>Результаты данной работы Фонда будут измеряться следующими КПД:</w:t>
      </w:r>
    </w:p>
    <w:p w14:paraId="5F6C59FD" w14:textId="17828D20" w:rsidR="00014C1A" w:rsidRDefault="00003B0B">
      <w:pPr>
        <w:ind w:firstLine="426"/>
        <w:jc w:val="both"/>
      </w:pPr>
      <w:r>
        <w:t>- Доля субъектов ММСП, которым оказана финансовая поддержка к общему числу действующих субъектов ММСП на рынке 1</w:t>
      </w:r>
      <w:r w:rsidR="002B5711">
        <w:t>1,9</w:t>
      </w:r>
      <w:r>
        <w:t>% к 2023 году;</w:t>
      </w:r>
    </w:p>
    <w:p w14:paraId="5AC51FF1" w14:textId="066CBCD3" w:rsidR="00014C1A" w:rsidRDefault="00003B0B">
      <w:pPr>
        <w:ind w:firstLine="426"/>
        <w:jc w:val="both"/>
      </w:pPr>
      <w:r>
        <w:t xml:space="preserve">- Количество новых проектов и проектов по модернизации и расширению действующих производств с учетом увеличения производительности труда и расширения рынков сбыта (на конец года) до </w:t>
      </w:r>
      <w:r w:rsidR="002B5711">
        <w:t>190 225</w:t>
      </w:r>
      <w:r>
        <w:t xml:space="preserve"> ед. к 2023 году;</w:t>
      </w:r>
    </w:p>
    <w:p w14:paraId="2F827121" w14:textId="1D86DBB2" w:rsidR="00014C1A" w:rsidRDefault="00003B0B">
      <w:pPr>
        <w:ind w:firstLine="426"/>
        <w:jc w:val="both"/>
      </w:pPr>
      <w:r>
        <w:t xml:space="preserve">- Доля частного сектора в кредитном портфеле Фонда </w:t>
      </w:r>
      <w:r w:rsidR="00F21C45">
        <w:t>к 2023 году</w:t>
      </w:r>
      <w:r>
        <w:t xml:space="preserve"> составит </w:t>
      </w:r>
      <w:r w:rsidR="00F21C45">
        <w:t>95</w:t>
      </w:r>
      <w:r>
        <w:t>%.</w:t>
      </w:r>
    </w:p>
    <w:p w14:paraId="7F361E3E" w14:textId="77777777" w:rsidR="004C4629" w:rsidRDefault="004C4629">
      <w:pPr>
        <w:ind w:firstLine="426"/>
        <w:jc w:val="both"/>
      </w:pPr>
    </w:p>
    <w:p w14:paraId="3A3ACAD1" w14:textId="77777777" w:rsidR="00014C1A" w:rsidRDefault="00003B0B">
      <w:pPr>
        <w:ind w:firstLine="426"/>
        <w:jc w:val="both"/>
      </w:pPr>
      <w:bookmarkStart w:id="21" w:name="SUB3010300"/>
      <w:bookmarkEnd w:id="21"/>
      <w:r>
        <w:rPr>
          <w:b/>
          <w:bCs/>
        </w:rPr>
        <w:t>3.1.3. Обеспечение повышения экономической эффективности поддерживаемых предприятий ММСП</w:t>
      </w:r>
    </w:p>
    <w:p w14:paraId="7C8386DE" w14:textId="77777777" w:rsidR="00014C1A" w:rsidRDefault="00003B0B">
      <w:pPr>
        <w:ind w:firstLine="426"/>
        <w:jc w:val="both"/>
      </w:pPr>
      <w:r>
        <w:t>Фонд «Даму», выступая в качестве основного оператора мер государственной финансовой поддержки субъектов малого и среднего бизнеса, уделяет внимание вопросам внедрения требований по повышению эффективности участников программ, реализуемых Фондом «Даму».</w:t>
      </w:r>
    </w:p>
    <w:p w14:paraId="5CD9F5C6" w14:textId="77777777" w:rsidR="00014C1A" w:rsidRDefault="00003B0B">
      <w:pPr>
        <w:ind w:firstLine="426"/>
        <w:jc w:val="both"/>
      </w:pPr>
      <w:r>
        <w:t>Для обеспечения эффективности новых проектов субъектов ММСП, желающих стать участниками программ, необходимо выдвигать минимальные требования по определению порога эффективных инвестиционных проектов, а также проектов, направленных на модернизацию и расширение производства. Также, необходимо предусмотреть повышение роста доходов, увеличение среднегодовой численности рабочих мест на основе данных по обязательным пенсионным взносам и (или) социальным отчислениям и рост объема уплачиваемых налогов в бюджет на 10% после 2 (двух) финансовых лет с даты решения Регионального координационного совета (далее - РКС).</w:t>
      </w:r>
    </w:p>
    <w:p w14:paraId="30B681F9" w14:textId="77777777" w:rsidR="00014C1A" w:rsidRDefault="00003B0B">
      <w:pPr>
        <w:ind w:firstLine="426"/>
        <w:jc w:val="both"/>
      </w:pPr>
      <w:r>
        <w:t xml:space="preserve">Фонд «Даму» в целях мониторинга эффективности участников программ в 2014 году заключил Меморандум о взаимодействии с Комитетом государственных доходов Министерства финансов Республики Казахстан. Фонд на основе заявлений согласий о разглашении налоговой тайны СЧП, на постоянной периодической основе получает данные по налоговым выплатам, пенсионным и социальным отчислениям, рабочим местам </w:t>
      </w:r>
      <w:r>
        <w:lastRenderedPageBreak/>
        <w:t>участников программы. На основе этой информации Фонд отслеживает эффективность проектов, в том числе рост налоговых поступлений и создание рабочих мест.</w:t>
      </w:r>
    </w:p>
    <w:p w14:paraId="64A50D83" w14:textId="7838FB52" w:rsidR="00014C1A" w:rsidRDefault="00003B0B">
      <w:pPr>
        <w:ind w:firstLine="426"/>
        <w:jc w:val="both"/>
      </w:pPr>
      <w:r>
        <w:t xml:space="preserve">В целом требования по эффективности Фондом «Даму» инициированы и включены в 2016 году в </w:t>
      </w:r>
      <w:r w:rsidR="00B26AB5">
        <w:t xml:space="preserve">Программу </w:t>
      </w:r>
      <w:r w:rsidR="001C1E49">
        <w:t>«</w:t>
      </w:r>
      <w:r w:rsidR="00B26AB5">
        <w:t>ДКБ</w:t>
      </w:r>
      <w:r w:rsidR="001C1E49">
        <w:t>-</w:t>
      </w:r>
      <w:r w:rsidR="00B26AB5">
        <w:t>2020</w:t>
      </w:r>
      <w:r w:rsidR="001C1E49">
        <w:t>»</w:t>
      </w:r>
      <w:r>
        <w:t>.</w:t>
      </w:r>
    </w:p>
    <w:p w14:paraId="2B04558C" w14:textId="2DF63A89" w:rsidR="00014C1A" w:rsidRDefault="00003B0B">
      <w:pPr>
        <w:ind w:firstLine="426"/>
        <w:jc w:val="both"/>
      </w:pPr>
      <w:r>
        <w:t>Государственная поддержка оказыва</w:t>
      </w:r>
      <w:r w:rsidR="004C72C2">
        <w:t>е</w:t>
      </w:r>
      <w:r>
        <w:t>т ощутимую помощь в расширении и развитии казахстанского бизнеса. В этом аспекте, ММСП для развития экономики страны, улучшения социального обеспечения граждан должны показывать динамичный рост. Фонд «Даму», в рамках новых программ планирует внедрять требования по повышению эффективности участников и автоматизировать учет и мониторинг экономической эффективности поддержанных программами Фонда предпринимателей.</w:t>
      </w:r>
    </w:p>
    <w:p w14:paraId="6052B878" w14:textId="77777777" w:rsidR="00014C1A" w:rsidRDefault="00003B0B">
      <w:pPr>
        <w:ind w:firstLine="426"/>
        <w:jc w:val="both"/>
      </w:pPr>
      <w:r>
        <w:t>Результаты данной работы Фонда будут измеряться следующими КПД:</w:t>
      </w:r>
    </w:p>
    <w:p w14:paraId="607BC0EA" w14:textId="395118C3" w:rsidR="00014C1A" w:rsidRDefault="00996CE9">
      <w:pPr>
        <w:ind w:firstLine="426"/>
        <w:jc w:val="both"/>
      </w:pPr>
      <w:r w:rsidRPr="007A303B">
        <w:t xml:space="preserve">- Объем выручки предприятий, получивших поддержку Фонда (за год). В рамках данного показателя планируется довести сумму совокупной выручки предприятий за 2023 год до </w:t>
      </w:r>
      <w:r>
        <w:t>6 500</w:t>
      </w:r>
      <w:r w:rsidRPr="007A303B">
        <w:t xml:space="preserve"> м</w:t>
      </w:r>
      <w:r>
        <w:t>лрд</w:t>
      </w:r>
      <w:r w:rsidRPr="007A303B">
        <w:t xml:space="preserve"> тенге.</w:t>
      </w:r>
      <w:r>
        <w:t xml:space="preserve"> </w:t>
      </w:r>
    </w:p>
    <w:p w14:paraId="06A4AB60" w14:textId="0000A111" w:rsidR="00014C1A" w:rsidRDefault="00003B0B">
      <w:pPr>
        <w:ind w:firstLine="426"/>
        <w:jc w:val="both"/>
      </w:pPr>
      <w:r>
        <w:t xml:space="preserve">- Прирост выплаченных налогов субъектами предпринимательства, получившими поддержку Фонда, довести к 2023 году до </w:t>
      </w:r>
      <w:r w:rsidR="00A849B3">
        <w:t xml:space="preserve">20 </w:t>
      </w:r>
      <w:r w:rsidR="00597FFA">
        <w:t xml:space="preserve">млрд </w:t>
      </w:r>
      <w:r>
        <w:t>тенге.</w:t>
      </w:r>
    </w:p>
    <w:p w14:paraId="764F3798" w14:textId="77777777" w:rsidR="00014C1A" w:rsidRDefault="00003B0B">
      <w:pPr>
        <w:ind w:firstLine="426"/>
        <w:jc w:val="both"/>
      </w:pPr>
      <w:r>
        <w:t>В результате данные меры напрямую окажут влияние на увеличение доли ММСП в экономике страны и улучшении показателей поддерживаемых секторов экономики.</w:t>
      </w:r>
    </w:p>
    <w:p w14:paraId="5814CB7C" w14:textId="031E7561" w:rsidR="00014C1A" w:rsidRDefault="00003B0B">
      <w:pPr>
        <w:ind w:firstLine="426"/>
        <w:jc w:val="both"/>
      </w:pPr>
      <w:r>
        <w:t>В предыдущие годы в рамках деятельности Фонда основная работа была связана с выполнением функций финансового агента государственных программ (Стабилизационная программа 2007-2009 гг., «Дорожная карта бизнеса 2020», «Н</w:t>
      </w:r>
      <w:r>
        <w:rPr>
          <w:lang w:val="kk-KZ"/>
        </w:rPr>
        <w:t>ұ</w:t>
      </w:r>
      <w:r>
        <w:t xml:space="preserve">рлы жол»), которые финансировались из государственного бюджета или Национального фонда. Вместе с достигнутым уровнем институционального развития Фонда, который выражается в размере собственного капитала (около 100 </w:t>
      </w:r>
      <w:r w:rsidR="00B646B3">
        <w:t>млрд</w:t>
      </w:r>
      <w:r>
        <w:t xml:space="preserve"> тенге - на уровне топ-10 БВУ Республики Казахстана), высоком кредитном рейтинге, уровне корпоративного управления и т.д., позволяет Фонду в рамках Стратегии развития до 2023 года увеличить масштабы собственных программ, реализуемых по инициативе самой компании.</w:t>
      </w:r>
    </w:p>
    <w:p w14:paraId="30CF4B42" w14:textId="3E311C09" w:rsidR="00014C1A" w:rsidRDefault="00003B0B">
      <w:pPr>
        <w:ind w:firstLine="426"/>
        <w:jc w:val="both"/>
      </w:pPr>
      <w:r>
        <w:t xml:space="preserve">Таким образом, до 2023 года Фонд продолжит выполнение агентских функций в рамках государственных программ, в том числе </w:t>
      </w:r>
      <w:r w:rsidR="007C3ECF">
        <w:t>в рамках Нац</w:t>
      </w:r>
      <w:r w:rsidR="00A9278C">
        <w:t xml:space="preserve">ионального </w:t>
      </w:r>
      <w:r w:rsidR="007C3ECF">
        <w:t>проекта и Механизма</w:t>
      </w:r>
      <w:r>
        <w:t>. За 2017-2023 годы по линии государственных программ планируется увеличить количество поддержанных субъектов ММСП с 16,9 тыс. по 32 тыс. единиц. Также, Фонд будет увеличивать долю собственных программ в продуктовой линейке, в том числе программы финансирования и микрокредитования ММСП за счет средств международных финансовых организаций, за счет средств собственного капитала, за счет софинансирования с банками и местными исполнительными органами, и гарантирование кредитов. За 2017-2023 годы по линии собственных программ планируется увеличить количество поддержанных субъектов ММСП с 15,7 тыс. по 96 тыс. единиц.</w:t>
      </w:r>
    </w:p>
    <w:p w14:paraId="0DE03F62" w14:textId="77777777" w:rsidR="004C4629" w:rsidRDefault="004C4629">
      <w:pPr>
        <w:ind w:firstLine="426"/>
        <w:jc w:val="both"/>
      </w:pPr>
    </w:p>
    <w:p w14:paraId="1B86FC72" w14:textId="77777777" w:rsidR="00014C1A" w:rsidRDefault="00003B0B">
      <w:pPr>
        <w:ind w:firstLine="426"/>
        <w:jc w:val="both"/>
      </w:pPr>
      <w:bookmarkStart w:id="22" w:name="SUB30200"/>
      <w:bookmarkEnd w:id="22"/>
      <w:r>
        <w:rPr>
          <w:b/>
          <w:bCs/>
        </w:rPr>
        <w:t>3.2. Устойчивое институциональное развитие Фонда</w:t>
      </w:r>
    </w:p>
    <w:p w14:paraId="248F503F" w14:textId="7D0D5B49" w:rsidR="00014C1A" w:rsidRDefault="00003B0B">
      <w:pPr>
        <w:ind w:firstLine="426"/>
        <w:jc w:val="both"/>
      </w:pPr>
      <w:bookmarkStart w:id="23" w:name="SUB3020100"/>
      <w:bookmarkEnd w:id="23"/>
      <w:r>
        <w:rPr>
          <w:b/>
          <w:bCs/>
        </w:rPr>
        <w:t>3.2.1. Привлечение дополнительных источников финансирования</w:t>
      </w:r>
    </w:p>
    <w:p w14:paraId="17EB7B7F" w14:textId="5A78684D" w:rsidR="00192647" w:rsidRDefault="00192647">
      <w:pPr>
        <w:ind w:firstLine="426"/>
        <w:jc w:val="both"/>
      </w:pPr>
      <w:r w:rsidRPr="002C7148">
        <w:rPr>
          <w:rFonts w:eastAsia="Arial Unicode MS"/>
        </w:rPr>
        <w:t xml:space="preserve">В целях обеспечения необходимой базы фондирования </w:t>
      </w:r>
      <w:r w:rsidRPr="002C7148">
        <w:rPr>
          <w:rFonts w:eastAsia="Times New Roman"/>
        </w:rPr>
        <w:t xml:space="preserve">Фонд </w:t>
      </w:r>
      <w:r w:rsidRPr="002C7148">
        <w:rPr>
          <w:rFonts w:eastAsia="Arial Unicode MS"/>
        </w:rPr>
        <w:t>использует различные инструменты заимствования, как на внутреннем, так и на международном рынках -  привлечение займов от международных финансовых институтов, привлечение средств путем выпуска облигаций.</w:t>
      </w:r>
    </w:p>
    <w:p w14:paraId="29064885" w14:textId="6E68CD82" w:rsidR="00014C1A" w:rsidRDefault="00003B0B">
      <w:pPr>
        <w:ind w:firstLine="426"/>
        <w:jc w:val="both"/>
      </w:pPr>
      <w:r>
        <w:t xml:space="preserve">Фонд в рамках развития ММСП в Казахстане и обеспечения доступа ММСП к финансовым ресурсам Фонд в 2017-2023 годах продолжит активно реализовывать текущие и новые финансовые программы, реализуемые как за счет бюджетных средств, так и за счет негосударственных источников заимствования. В части активизации работ по привлечению негосударственных источников заимствования Фонд продолжит работу с текущими партнерами - международными финансовыми институтами, такими как АБР, ЕБРР и Европейским </w:t>
      </w:r>
      <w:r w:rsidR="00DD6D4A" w:rsidRPr="00DE01D7">
        <w:t>инвестиционны</w:t>
      </w:r>
      <w:r w:rsidR="00DD6D4A">
        <w:t>м</w:t>
      </w:r>
      <w:r w:rsidR="00DD6D4A" w:rsidRPr="00DE01D7">
        <w:t xml:space="preserve"> банк</w:t>
      </w:r>
      <w:r w:rsidR="00DD6D4A">
        <w:t>ом</w:t>
      </w:r>
      <w:r>
        <w:t xml:space="preserve">, а также будет налаживать сотрудничество с новыми потенциальными инвесторами в лице международных финансовых институтов и </w:t>
      </w:r>
      <w:r>
        <w:lastRenderedPageBreak/>
        <w:t>инвестиционных фондов. Также, Фонд будет прорабатывать доступные инструменты, способствующие снижению стоимости привлекаемых ресурсов, такие как использование в качестве обеспечения корпоративной гарантии Холдинга, а также доступные инструменты снижения валютных рисков.</w:t>
      </w:r>
    </w:p>
    <w:p w14:paraId="7118E2AA" w14:textId="473EBAC7" w:rsidR="00014C1A" w:rsidRDefault="00003B0B">
      <w:pPr>
        <w:ind w:firstLine="426"/>
        <w:jc w:val="both"/>
      </w:pPr>
      <w:r>
        <w:t>В части диверсификации источников фондирования Фонд планирует проработать вопрос о реализации облигационной программы.</w:t>
      </w:r>
    </w:p>
    <w:p w14:paraId="4AF2756A" w14:textId="77777777" w:rsidR="006A4325" w:rsidRDefault="006A4325">
      <w:pPr>
        <w:ind w:firstLine="426"/>
        <w:jc w:val="both"/>
        <w:rPr>
          <w:b/>
          <w:bCs/>
        </w:rPr>
      </w:pPr>
    </w:p>
    <w:p w14:paraId="62BC977B" w14:textId="0AD5E658" w:rsidR="00014C1A" w:rsidRDefault="00003B0B">
      <w:pPr>
        <w:ind w:firstLine="426"/>
        <w:jc w:val="both"/>
      </w:pPr>
      <w:r>
        <w:rPr>
          <w:b/>
          <w:bCs/>
        </w:rPr>
        <w:t>Привлечение средств международных финансовых институтов.</w:t>
      </w:r>
    </w:p>
    <w:p w14:paraId="780C301C" w14:textId="4C904DA4" w:rsidR="00014C1A" w:rsidRDefault="00003B0B">
      <w:pPr>
        <w:ind w:firstLine="426"/>
        <w:jc w:val="both"/>
      </w:pPr>
      <w:r>
        <w:t>В целях поддержки ММСП Фонд планирует реализацию проекта по финансированию микро, малого и среднего бизнеса через БВУ и микрофинансовые организации за счет средств АБР в размере 200 млн долларов США. Ограниченный доступ к финансированию является критическим препятствием на пути повышения производительности и роста сектора ММСП. Повышение производительности ММСП, а также устойчивость микро предприятий в качестве источника дохода для населения с низким уровнем доходов, имеют важное значение для стимулирования экономики несырьевого сектора. Проект предполагает финансирование с предоставлением кредитов в местной валюте для поддержки инвестиций в производственную деятельность ММСП, а также стимулирование кредитования женщин-предпринимателей и регионов за пределами городов Астана и Алматы. В рамках проекта будет оказана техническая помощь для повышения эффективности управления кредитными рисками, эффективности выбранных БВУ /микрофинансовых организаций и расширения возможностей финансирования для ММСП. Данная программа позволит увеличить объем кредитования ММСП по фиксированной стоимости и обеспечит доступность заемных средств, для субъектов ММСП за счет снижения стоимости кредитных ресурсов. Заем АБР позволит обеспечить доступ субъектов ММСП к среднесрочному и долгосрочному финансированию по фиксированной ставке с рекомендуемым акцентом на проекты в приоритетных для страны отраслях экономики страны.</w:t>
      </w:r>
    </w:p>
    <w:p w14:paraId="069E87A1" w14:textId="77777777" w:rsidR="00014C1A" w:rsidRDefault="00003B0B">
      <w:pPr>
        <w:ind w:firstLine="426"/>
        <w:jc w:val="both"/>
      </w:pPr>
      <w:r>
        <w:t>Реализация проекта позволит достичь следующего социально-экономического эффекта:</w:t>
      </w:r>
    </w:p>
    <w:p w14:paraId="0AC5DCDF" w14:textId="77777777" w:rsidR="00014C1A" w:rsidRDefault="00003B0B">
      <w:pPr>
        <w:ind w:firstLine="426"/>
        <w:jc w:val="both"/>
      </w:pPr>
      <w:r>
        <w:t>- увеличить объем кредитования субъектов ММСП;</w:t>
      </w:r>
    </w:p>
    <w:p w14:paraId="63B6FF06" w14:textId="77777777" w:rsidR="00014C1A" w:rsidRDefault="00003B0B">
      <w:pPr>
        <w:ind w:firstLine="426"/>
        <w:jc w:val="both"/>
      </w:pPr>
      <w:r>
        <w:t>- увеличить налоговые поступления в бюджет;</w:t>
      </w:r>
    </w:p>
    <w:p w14:paraId="7E6262DE" w14:textId="77777777" w:rsidR="00014C1A" w:rsidRDefault="00003B0B">
      <w:pPr>
        <w:ind w:firstLine="426"/>
        <w:jc w:val="both"/>
      </w:pPr>
      <w:r>
        <w:t>- создать новые рабочие места;</w:t>
      </w:r>
    </w:p>
    <w:p w14:paraId="1F77C8C0" w14:textId="77777777" w:rsidR="00014C1A" w:rsidRDefault="00003B0B">
      <w:pPr>
        <w:ind w:firstLine="426"/>
        <w:jc w:val="both"/>
      </w:pPr>
      <w:r>
        <w:t>- осуществить модернизацию основных средств субъектов ММСП;</w:t>
      </w:r>
    </w:p>
    <w:p w14:paraId="515D2904" w14:textId="77777777" w:rsidR="00014C1A" w:rsidRDefault="00003B0B">
      <w:pPr>
        <w:ind w:firstLine="426"/>
        <w:jc w:val="both"/>
      </w:pPr>
      <w:r>
        <w:t>- увеличить вклад субъектов ММСП в ВВП страны через выпуск продукции.</w:t>
      </w:r>
    </w:p>
    <w:p w14:paraId="7DFB724A" w14:textId="56FF7540" w:rsidR="00014C1A" w:rsidRDefault="00003B0B">
      <w:pPr>
        <w:ind w:firstLine="426"/>
        <w:jc w:val="both"/>
      </w:pPr>
      <w:r>
        <w:t>Кроме этого, борьба с изменением климата, смягчением его последствий и защитой окружающей среды также повлияла на политику Фонда. С данной целью, Фонд нацелен привлечь средства ЕИБ в национальной валюте в сумме не более 200 млн евро. Средства планируется направить на финансирование «зеленых проектов» посредством БВУ. Участниками данного продукта могут стать ММСП, реализующие проекты для развития социальной и экономической инфраструктуры, в том числе транспорта, энергетики, охраны окружающей инфраструктуры и информационно-коммуникационных технологий и смягчению последствий изменения климата и адаптации. Кроме этого, в рамках займа планируется предоставление технической помощи в сумме 500 тыс. евро для оказания поддержки Фонду и банкам-участникам в отборе «зеленых проектов» для дальнейшего финансирования. Реализация проекта по привлечению средств ЕИБ окажет содействие в обновлении основных фондов ММСП, позволит увеличить объемы финансирования ММСП, в частности будет содействовать повышению уровня финансовой активности ММСП, будет иметь социально-экономический эффект в виде роста валовой добавленной стоимости ММСП, создания новых рабочих мест, увеличения фонда оплаты труда работников ММСП и выплачиваемых ими налогов.</w:t>
      </w:r>
    </w:p>
    <w:p w14:paraId="05486464" w14:textId="77777777" w:rsidR="006A4325" w:rsidRDefault="006A4325">
      <w:pPr>
        <w:ind w:firstLine="426"/>
        <w:jc w:val="both"/>
        <w:rPr>
          <w:b/>
          <w:bCs/>
        </w:rPr>
      </w:pPr>
    </w:p>
    <w:p w14:paraId="325C7A0B" w14:textId="37A6639E" w:rsidR="00014C1A" w:rsidRPr="000E3A13" w:rsidRDefault="00003B0B">
      <w:pPr>
        <w:ind w:firstLine="426"/>
        <w:jc w:val="both"/>
      </w:pPr>
      <w:r w:rsidRPr="000E3A13">
        <w:rPr>
          <w:b/>
          <w:bCs/>
        </w:rPr>
        <w:t>Поиск и привлечение фондирования посредством выпуска облигаций.</w:t>
      </w:r>
    </w:p>
    <w:p w14:paraId="20C2C6E6" w14:textId="7E43DC3C" w:rsidR="00014C1A" w:rsidRPr="00544880" w:rsidRDefault="00003B0B">
      <w:pPr>
        <w:ind w:firstLine="426"/>
        <w:jc w:val="both"/>
      </w:pPr>
      <w:r w:rsidRPr="00544880">
        <w:lastRenderedPageBreak/>
        <w:t xml:space="preserve">В рамках привлечения дополнительных источников финансирования Фонд также рассматривает возможность привлечение дополнительного финансирования посредством выпуска облигаций. В зависимости от потребности финансирования ММСП, Фондом </w:t>
      </w:r>
      <w:r w:rsidRPr="004E0BAB">
        <w:t>прорабатыва</w:t>
      </w:r>
      <w:r w:rsidR="00192647" w:rsidRPr="000E3A13">
        <w:t>ю</w:t>
      </w:r>
      <w:r w:rsidRPr="000E3A13">
        <w:t>тся возможности по привлечению путем выпуска облигаций на внутреннем и внешнем рынках капитала.</w:t>
      </w:r>
    </w:p>
    <w:p w14:paraId="6B55234B" w14:textId="362B6B0F" w:rsidR="00014C1A" w:rsidRPr="00544880" w:rsidRDefault="00003B0B">
      <w:pPr>
        <w:ind w:firstLine="426"/>
        <w:jc w:val="both"/>
      </w:pPr>
      <w:r w:rsidRPr="009A6EBE">
        <w:t>При привлечении заимствований путем выпуска облигаций осуществл</w:t>
      </w:r>
      <w:r w:rsidR="00192647" w:rsidRPr="000E3A13">
        <w:t>яется</w:t>
      </w:r>
      <w:r w:rsidRPr="000E3A13">
        <w:t xml:space="preserve"> работа по увеличению инвестиционной привлекательности Фонда, в том числе поддержание Фондом кредитного рейтинга не ниже суверенного. Заимствования осуществля</w:t>
      </w:r>
      <w:r w:rsidR="00192647" w:rsidRPr="000E3A13">
        <w:t>ю</w:t>
      </w:r>
      <w:r w:rsidRPr="000E3A13">
        <w:t>тся при сохранении финансовой устойчивости Фонда, при соблюдении установленных лимитов и предельных финансовых коэффициентов.</w:t>
      </w:r>
    </w:p>
    <w:p w14:paraId="5C0D8F2F" w14:textId="0A8F82DC" w:rsidR="00192647" w:rsidRDefault="00192647">
      <w:pPr>
        <w:ind w:firstLine="426"/>
        <w:jc w:val="both"/>
      </w:pPr>
      <w:r w:rsidRPr="009A6EBE">
        <w:t>Так, в 2020 году Фондом для привлечения ресурсов были выпущены первые</w:t>
      </w:r>
      <w:r w:rsidRPr="00DE01D7">
        <w:t xml:space="preserve"> «зеленые облигации» в Казахстане при поддержке Программы Развития ООН в Казахстане.  Привлеченные средства размещены в банках второго уровня для последующего финансирования сделок СМСП в рамках проекта ПРООН-ГЭФ «Снижение рисков инвестирования в возобновляемые источники энергии» и направлены на внедрение технологий возобновляемых источников энергии.</w:t>
      </w:r>
    </w:p>
    <w:p w14:paraId="3E9BF1D6" w14:textId="34210F4A" w:rsidR="00184397" w:rsidRDefault="00184397">
      <w:pPr>
        <w:ind w:firstLine="426"/>
        <w:jc w:val="both"/>
      </w:pPr>
      <w:r w:rsidRPr="00DE01D7">
        <w:t>Также, в сентябре 2021 года Фондом размещены социальные облигации на сумму 1 млрд тенге, сроком обращения 5 лет. Верификацию на соответствие принципам социальности согласно ICMA (International Capital Market Association) осуществило АО «Рейтинговое Агентство «Эксперт РА».</w:t>
      </w:r>
      <w:r>
        <w:t xml:space="preserve"> </w:t>
      </w:r>
      <w:r w:rsidRPr="00DE01D7">
        <w:t>Облигации Фонда стали первыми ценными бумагами на казахстанском фондовом рынке, которые соответствуют социальным принципам.</w:t>
      </w:r>
    </w:p>
    <w:p w14:paraId="73545C00" w14:textId="57A40D06" w:rsidR="000E3A13" w:rsidRPr="000E3A13" w:rsidRDefault="000E3A13">
      <w:pPr>
        <w:ind w:firstLine="426"/>
        <w:jc w:val="both"/>
      </w:pPr>
      <w:r w:rsidRPr="000E3A13">
        <w:t>Ориентируясь на лучшие мировые практики Фонд также ставит своей задачей интеграцию принципов устойчивого развития во все сферы деятельности Фонда, их последовательное внедрение во все продукты и программы поддержки Фонда и стратегические документы.</w:t>
      </w:r>
    </w:p>
    <w:p w14:paraId="46B61313" w14:textId="77777777" w:rsidR="006A4325" w:rsidRDefault="006A4325">
      <w:pPr>
        <w:ind w:firstLine="426"/>
        <w:jc w:val="both"/>
        <w:rPr>
          <w:b/>
          <w:bCs/>
        </w:rPr>
      </w:pPr>
    </w:p>
    <w:p w14:paraId="3C37E7DC" w14:textId="31D154FC" w:rsidR="00014C1A" w:rsidRPr="00544880" w:rsidRDefault="00003B0B">
      <w:pPr>
        <w:ind w:firstLine="426"/>
        <w:jc w:val="both"/>
      </w:pPr>
      <w:r w:rsidRPr="00544880">
        <w:rPr>
          <w:b/>
          <w:bCs/>
        </w:rPr>
        <w:t>Докапитализация Фонда.</w:t>
      </w:r>
    </w:p>
    <w:p w14:paraId="47C6C740" w14:textId="77777777" w:rsidR="00014C1A" w:rsidRDefault="00003B0B">
      <w:pPr>
        <w:ind w:firstLine="426"/>
        <w:jc w:val="both"/>
      </w:pPr>
      <w:r>
        <w:t>По причине увеличения обязательств Фонда в виде привлеченных средств от международных финансовых организаций, а также с учетом наличия и потенциального роста условных обязательств Фонда в виде выданных гарантий, вырастет «кредитное плечо», которое может достигнуть предельного установленного либо критического уровня.</w:t>
      </w:r>
    </w:p>
    <w:p w14:paraId="2FD6C468" w14:textId="77777777" w:rsidR="00014C1A" w:rsidRDefault="00003B0B">
      <w:pPr>
        <w:ind w:firstLine="426"/>
        <w:jc w:val="both"/>
      </w:pPr>
      <w:r>
        <w:t>Привлеченные средства должны будут размещены в финансовых партнерах в рамках программ обусловленного размещения средств, при этом займы в БВУ беззалоговые. Также, имеется предпосылки к сужению возможности диверсификации кредитного портфеля с учетом снижения/слияния количества активных и качественных финансовых партнеров. Данные факторы приведут к росту концентрации риска на одного заемщика.</w:t>
      </w:r>
    </w:p>
    <w:p w14:paraId="5D39A1AC" w14:textId="77777777" w:rsidR="00014C1A" w:rsidRDefault="00003B0B">
      <w:pPr>
        <w:ind w:firstLine="426"/>
        <w:jc w:val="both"/>
      </w:pPr>
      <w:r>
        <w:t>Данные факторы риска создадут давление на собственный капитал Фонда, так как с 1 января 2018 года, вводится МСФО 9, который подразумевают более консервативный подход к начислению провизии в отличии от МСФО 39. Соответственно для сохранения инвестиционной привлекательности для потенциальных кредиторов, а также для сохранения устойчивого положения по текущим обязательствам Фонд будет проводить мероприятия по проработке вопроса докапитализации.</w:t>
      </w:r>
    </w:p>
    <w:p w14:paraId="5B307CAD" w14:textId="29391083" w:rsidR="00014C1A" w:rsidRDefault="00014C1A">
      <w:pPr>
        <w:ind w:firstLine="426"/>
        <w:jc w:val="both"/>
      </w:pPr>
    </w:p>
    <w:p w14:paraId="6E2BDD06" w14:textId="384A79E9" w:rsidR="00014C1A" w:rsidRDefault="00003B0B">
      <w:pPr>
        <w:ind w:firstLine="426"/>
        <w:jc w:val="both"/>
      </w:pPr>
      <w:r>
        <w:t>Результаты данной работы Фонда будут измеряться следующим КПД:</w:t>
      </w:r>
    </w:p>
    <w:p w14:paraId="23CB29C4" w14:textId="0D3B2D76" w:rsidR="00014C1A" w:rsidRDefault="00003B0B">
      <w:pPr>
        <w:ind w:firstLine="426"/>
        <w:jc w:val="both"/>
      </w:pPr>
      <w:r>
        <w:t xml:space="preserve">- Доля негосударственных источников заимствования в общей структуре заимствования за отчетный год, составят к 2023 году - </w:t>
      </w:r>
      <w:r w:rsidR="00336065">
        <w:t>20</w:t>
      </w:r>
      <w:r>
        <w:t>%.</w:t>
      </w:r>
    </w:p>
    <w:p w14:paraId="440DFDF9" w14:textId="1F1F87FA" w:rsidR="00014C1A" w:rsidRDefault="00003B0B">
      <w:pPr>
        <w:ind w:firstLine="426"/>
        <w:jc w:val="both"/>
      </w:pPr>
      <w:r>
        <w:t xml:space="preserve">- Долг/Капитал к 2023 году составит </w:t>
      </w:r>
      <w:r w:rsidR="00336065">
        <w:t>–</w:t>
      </w:r>
      <w:r>
        <w:t xml:space="preserve"> </w:t>
      </w:r>
      <w:r w:rsidR="00BF279A">
        <w:t>5</w:t>
      </w:r>
      <w:r>
        <w:t>.</w:t>
      </w:r>
    </w:p>
    <w:p w14:paraId="3ECC892A" w14:textId="77777777" w:rsidR="006A4325" w:rsidRDefault="006A4325">
      <w:pPr>
        <w:ind w:firstLine="426"/>
        <w:jc w:val="both"/>
        <w:rPr>
          <w:b/>
          <w:bCs/>
        </w:rPr>
      </w:pPr>
      <w:bookmarkStart w:id="24" w:name="SUB3020200"/>
      <w:bookmarkEnd w:id="24"/>
    </w:p>
    <w:p w14:paraId="67D51504" w14:textId="54BBAC44" w:rsidR="00014C1A" w:rsidRDefault="00003B0B">
      <w:pPr>
        <w:ind w:firstLine="426"/>
        <w:jc w:val="both"/>
      </w:pPr>
      <w:r>
        <w:rPr>
          <w:b/>
          <w:bCs/>
        </w:rPr>
        <w:t>3.2.2. Достижение запланированного уровня финансовых результатов деятельности</w:t>
      </w:r>
    </w:p>
    <w:p w14:paraId="7494394E" w14:textId="77777777" w:rsidR="00014C1A" w:rsidRDefault="00003B0B">
      <w:pPr>
        <w:ind w:firstLine="426"/>
        <w:jc w:val="both"/>
      </w:pPr>
      <w:r>
        <w:lastRenderedPageBreak/>
        <w:t>Для реализации данной задачи Фонд проведет работу по внедрению единых подходов к планированию и бюджетированию, созданию системы управленческой отчетности, установлению ключевых показателей деятельности.</w:t>
      </w:r>
    </w:p>
    <w:p w14:paraId="75675307" w14:textId="77777777" w:rsidR="00014C1A" w:rsidRDefault="00003B0B">
      <w:pPr>
        <w:ind w:firstLine="426"/>
        <w:jc w:val="both"/>
      </w:pPr>
      <w:r>
        <w:t>Фонд, при реализации финансово-экономической политики, руководствуется системой принципов и реализации управленческих решений, связанных с формированием, распределением и использованием финансовых ресурсов.</w:t>
      </w:r>
    </w:p>
    <w:p w14:paraId="17E930C0" w14:textId="77777777" w:rsidR="00014C1A" w:rsidRDefault="00003B0B">
      <w:pPr>
        <w:ind w:firstLine="426"/>
        <w:jc w:val="both"/>
      </w:pPr>
      <w:r>
        <w:t>- Интегрированность с общей системой управления Фондом;</w:t>
      </w:r>
    </w:p>
    <w:p w14:paraId="67FFFD4E" w14:textId="77777777" w:rsidR="00014C1A" w:rsidRDefault="00003B0B">
      <w:pPr>
        <w:ind w:firstLine="426"/>
        <w:jc w:val="both"/>
      </w:pPr>
      <w:r>
        <w:t>- Комплексный характер формирования управленческих решений;</w:t>
      </w:r>
    </w:p>
    <w:p w14:paraId="62A58515" w14:textId="77777777" w:rsidR="00014C1A" w:rsidRDefault="00003B0B">
      <w:pPr>
        <w:ind w:firstLine="426"/>
        <w:jc w:val="both"/>
      </w:pPr>
      <w:r>
        <w:t>- Ориентированность на стратегические цели развития Фонда.</w:t>
      </w:r>
    </w:p>
    <w:p w14:paraId="02EF581D" w14:textId="77777777" w:rsidR="00014C1A" w:rsidRDefault="00003B0B">
      <w:pPr>
        <w:ind w:firstLine="426"/>
        <w:jc w:val="both"/>
      </w:pPr>
      <w:r>
        <w:t>В рамках автоматизации, а также в целях оперативного ведения учета, ведения план-фактного анализа в разрезе статей оборотов по бюджетам на основе данных бухгалтерского учета, с учетом специфики ведения управленческого учета, и усовершенствования процесса планирования и исполнения закупок, Фондом разработана и запущена в эксплуатацию подсистема бизнес планирования и бюджетирования на базе программного продукта «1С Предприятие 8.». Внедрена подсистема получения фактических данных по данным бухгалтерского учета, с необходимой детализацией и отборами. Интеграция статей бюджета с бухгалтерской учетной системой Фонда. А также внедрена подсистема «Управление закупками и платежный календарь».</w:t>
      </w:r>
    </w:p>
    <w:p w14:paraId="33141013" w14:textId="3BA10744" w:rsidR="00014C1A" w:rsidRDefault="00EE3EC7">
      <w:pPr>
        <w:ind w:firstLine="426"/>
        <w:jc w:val="both"/>
      </w:pPr>
      <w:r>
        <w:t>В</w:t>
      </w:r>
      <w:r w:rsidR="00003B0B">
        <w:t xml:space="preserve"> целях обеспечения прозрачности учета доходов и расходов по видам оказываемых услуг (программам), обеспечения полноты и содержательности предоставления отчетности по результатам распределения, с необходимой для принятия управленческих решений детализацией внедри</w:t>
      </w:r>
      <w:r>
        <w:t>л</w:t>
      </w:r>
      <w:r w:rsidR="00003B0B">
        <w:t xml:space="preserve"> систему раздельного учета доходов, расходов и задействованных активов.</w:t>
      </w:r>
    </w:p>
    <w:p w14:paraId="23B983F2" w14:textId="77777777" w:rsidR="00014C1A" w:rsidRDefault="00003B0B">
      <w:pPr>
        <w:ind w:firstLine="426"/>
        <w:jc w:val="both"/>
      </w:pPr>
      <w:r>
        <w:t>Внедрение системы раздельного учета доходов, расходов и задействованных активов позволит получать данные:</w:t>
      </w:r>
    </w:p>
    <w:p w14:paraId="1F0799A2" w14:textId="77777777" w:rsidR="00014C1A" w:rsidRDefault="00003B0B">
      <w:pPr>
        <w:ind w:firstLine="426"/>
        <w:jc w:val="both"/>
      </w:pPr>
      <w:r>
        <w:t>- для оценки себестоимости и рентабельности реализуемых Фондом программ (в том числе по средствам, получаемым из бюджета страны);</w:t>
      </w:r>
    </w:p>
    <w:p w14:paraId="019D909B" w14:textId="77777777" w:rsidR="00014C1A" w:rsidRDefault="00003B0B">
      <w:pPr>
        <w:ind w:firstLine="426"/>
        <w:jc w:val="both"/>
      </w:pPr>
      <w:r>
        <w:t>- для оценки рентабельности региональных филиалов;</w:t>
      </w:r>
    </w:p>
    <w:p w14:paraId="14C138FE" w14:textId="77777777" w:rsidR="00014C1A" w:rsidRDefault="00003B0B">
      <w:pPr>
        <w:ind w:firstLine="426"/>
        <w:jc w:val="both"/>
      </w:pPr>
      <w:r>
        <w:t xml:space="preserve">- для поиска возможностей оптимизации использования ресурсов. </w:t>
      </w:r>
    </w:p>
    <w:p w14:paraId="53B421F8" w14:textId="77777777" w:rsidR="00014C1A" w:rsidRDefault="00003B0B">
      <w:pPr>
        <w:ind w:firstLine="426"/>
        <w:jc w:val="both"/>
      </w:pPr>
      <w:r>
        <w:t>Управление ВСД осуществляется на базе прогнозирования денежных потоков Фонда, которое отражает потребности финансово-хозяйственной деятельности и направлено на минимизацию разрывов в финансовых потоках.</w:t>
      </w:r>
    </w:p>
    <w:p w14:paraId="40880731" w14:textId="77777777" w:rsidR="00014C1A" w:rsidRDefault="00003B0B">
      <w:pPr>
        <w:ind w:firstLine="426"/>
        <w:jc w:val="both"/>
      </w:pPr>
      <w:r>
        <w:t>Основными задачами Фонда при управлении активами являются обеспечение сохранности ВСД, платежеспособности по текущим обязательствам, способности финансировать возникающие инвестиционные возможности и обеспечение достаточного уровня доходности ВСД к уровню принимаемого риска.</w:t>
      </w:r>
    </w:p>
    <w:p w14:paraId="3D88A7BC" w14:textId="77777777" w:rsidR="00014C1A" w:rsidRDefault="00003B0B">
      <w:pPr>
        <w:ind w:firstLine="426"/>
        <w:jc w:val="both"/>
      </w:pPr>
      <w:r>
        <w:t>Основными принципами управления ВСД являются безопасность (сохранность капитала), ликвидность (возможность в кратчайшие сроки преобразовывать активы в денежные средства) и доходность (наибольший доход, который может быть получен при условии соблюдения принципов безопасности и ликвидности).</w:t>
      </w:r>
    </w:p>
    <w:p w14:paraId="3E97B555" w14:textId="77777777" w:rsidR="00014C1A" w:rsidRDefault="00003B0B">
      <w:pPr>
        <w:ind w:firstLine="426"/>
        <w:jc w:val="both"/>
      </w:pPr>
      <w:r>
        <w:t>Размещение ВСД осуществляется с соблюдением установленных лимитов и ограничений согласно внутренним документам Фонда, утвержденными уполномоченными органами Фонда.</w:t>
      </w:r>
    </w:p>
    <w:p w14:paraId="5D145625" w14:textId="77777777" w:rsidR="00014C1A" w:rsidRDefault="00003B0B">
      <w:pPr>
        <w:ind w:firstLine="426"/>
        <w:jc w:val="both"/>
      </w:pPr>
      <w:r>
        <w:t>В рамках совершенствования системы управления рисками - основным элементом процесса управления рисками Фонда «Даму» является его интеграция со спецификой организации, основными принципами деятельности, бизнес-процессами, и вовлеченность каждого работника в процесс управления рисками.</w:t>
      </w:r>
    </w:p>
    <w:p w14:paraId="7039A23B" w14:textId="77777777" w:rsidR="00014C1A" w:rsidRDefault="00003B0B">
      <w:pPr>
        <w:ind w:firstLine="426"/>
        <w:jc w:val="both"/>
      </w:pPr>
      <w:r>
        <w:t>Международный опыт свидетельствует о том, что основополагающую роль в успешной работе механизма корпоративной системы управления рисками (далее - КСУР) является создание атмосферы понимания собственной роли каждого участника бизнес-процесса в управлении рисками и четкое разделение функций и ответственности.</w:t>
      </w:r>
    </w:p>
    <w:p w14:paraId="6E1194A3" w14:textId="77777777" w:rsidR="00014C1A" w:rsidRDefault="00003B0B">
      <w:pPr>
        <w:ind w:firstLine="426"/>
        <w:jc w:val="both"/>
      </w:pPr>
      <w:r>
        <w:lastRenderedPageBreak/>
        <w:t>В силу специфики деятельности Фонда основные риски по степени важности представлены в следующем порядке:</w:t>
      </w:r>
    </w:p>
    <w:p w14:paraId="33801DF0" w14:textId="77777777" w:rsidR="00014C1A" w:rsidRDefault="00003B0B">
      <w:pPr>
        <w:ind w:firstLine="426"/>
        <w:jc w:val="both"/>
      </w:pPr>
      <w:r>
        <w:t>• кредитные риски;</w:t>
      </w:r>
    </w:p>
    <w:p w14:paraId="5509493E" w14:textId="77777777" w:rsidR="00014C1A" w:rsidRDefault="00003B0B">
      <w:pPr>
        <w:ind w:firstLine="426"/>
        <w:jc w:val="both"/>
      </w:pPr>
      <w:r>
        <w:t>• операционный риск;</w:t>
      </w:r>
    </w:p>
    <w:p w14:paraId="604BAD2F" w14:textId="77777777" w:rsidR="00014C1A" w:rsidRDefault="00003B0B">
      <w:pPr>
        <w:ind w:firstLine="426"/>
        <w:jc w:val="both"/>
      </w:pPr>
      <w:r>
        <w:t>• рыночные риски;</w:t>
      </w:r>
    </w:p>
    <w:p w14:paraId="523FBFDC" w14:textId="77777777" w:rsidR="00014C1A" w:rsidRDefault="00003B0B">
      <w:pPr>
        <w:ind w:firstLine="426"/>
        <w:jc w:val="both"/>
      </w:pPr>
      <w:r>
        <w:t>• риск ликвидности.</w:t>
      </w:r>
    </w:p>
    <w:p w14:paraId="72B04850" w14:textId="77777777" w:rsidR="00014C1A" w:rsidRDefault="00003B0B">
      <w:pPr>
        <w:ind w:firstLine="426"/>
        <w:jc w:val="both"/>
      </w:pPr>
      <w:r>
        <w:t>Основным фактором кредитного риска является обусловленное размещение. Исторически, 80-90% активов Фонда размещаются в БВУ, лизинговые компании, микрокредитные организации и ценные бумаги, соответственно финансовые риски (кредитные, рыночные) имеют первостепенную важность в процессе управления рисками. В рамках нивелирования данного риска Фонд на постоянной основе проводит работу по совершенствованию процедуры установления лимитов на БВУ. В рамках этих мероприятий, проводится автоматизация процессов управления рисками, в частности автоматизированы расчеты по оценке финансового состояния банков-контрагентов и лимитов на них, автоматизация расчета лимитов на лизинговые компании и оценка финансового состояния СЧП, в рамках программ гарантирования кредитов.</w:t>
      </w:r>
    </w:p>
    <w:p w14:paraId="6FD32CC1" w14:textId="77777777" w:rsidR="00014C1A" w:rsidRDefault="00003B0B">
      <w:pPr>
        <w:ind w:firstLine="426"/>
        <w:jc w:val="both"/>
      </w:pPr>
      <w:r>
        <w:t>По причине ухудшения конъюнктуры в банковском секторе, финансовое состояние нескольких БВУ - ухудшилось, что привело к сокращению лимитов на них. Также на рынке происходит слияние/укрупнение банков. Соответственно сузился круг банков-контрагентов, участвующих в реализации государственных программ обусловленного размещения средств. По этой причине, концентрация рисков на заемщиков растет, что влечет увеличение значений кредитных рисков. В этой связи, Фонду необходимо выполнение показателей: рассмотреть аналогичные варианты доведения средств до конечных заемщиков, для исключения кредитного риска БВУ и снизить концентрацию фактических рисков на одном заемщике к 2023 году - не более 25% от собственного капитала Фонда.</w:t>
      </w:r>
    </w:p>
    <w:p w14:paraId="1368E685" w14:textId="77777777" w:rsidR="00014C1A" w:rsidRDefault="00003B0B">
      <w:pPr>
        <w:ind w:firstLine="426"/>
        <w:jc w:val="both"/>
      </w:pPr>
      <w:r>
        <w:t>Дополнительно планируется разработать механизмы по возврату займов через механизм заключения договоров переуступки прав требований к конечному Заемщику в случае дефолта БВУ или нарушения ими ковенант по кредитному соглашению.</w:t>
      </w:r>
    </w:p>
    <w:p w14:paraId="3A604047" w14:textId="77777777" w:rsidR="00014C1A" w:rsidRDefault="00003B0B">
      <w:pPr>
        <w:ind w:firstLine="426"/>
        <w:jc w:val="both"/>
      </w:pPr>
      <w:r>
        <w:t>Также важным направлением по управлению рисками являются операционные риски. При этом существенными являются ИТ риски, которые заключаются в обеспечении непрерывности деятельности ИТ систем, а также в автоматизации обмена информацией, которая выступает наиважнейшим фактором в повышении мобильности и актуальности принятия решений руководством. Для автоматизации отчетности и повышения её эффективности необходимо соответствующая система ИТ.</w:t>
      </w:r>
    </w:p>
    <w:p w14:paraId="198EB3F8" w14:textId="77777777" w:rsidR="00014C1A" w:rsidRDefault="00003B0B">
      <w:pPr>
        <w:ind w:firstLine="426"/>
        <w:jc w:val="both"/>
      </w:pPr>
      <w:r>
        <w:t>В рамках минимизации ИТ рисков, Фондом будут создаваться резервные хранилища с учетом требований непрерывности бизнеса, а также периодическому тестированию непрерывности деятельности ИТ системы.</w:t>
      </w:r>
    </w:p>
    <w:p w14:paraId="129AF236" w14:textId="77777777" w:rsidR="00014C1A" w:rsidRDefault="00003B0B">
      <w:pPr>
        <w:ind w:firstLine="426"/>
        <w:jc w:val="both"/>
      </w:pPr>
      <w:r>
        <w:t>Более того, для обеспечения интеграции в систему корпоративного управления Фонда автоматизация должна происходить одновременно с автоматизацией системы сбалансированных ключевых показателей в рамках автоматизации управленческой отчетности.</w:t>
      </w:r>
    </w:p>
    <w:p w14:paraId="5D4AAF2C" w14:textId="77777777" w:rsidR="00014C1A" w:rsidRDefault="00003B0B">
      <w:pPr>
        <w:ind w:firstLine="426"/>
        <w:jc w:val="both"/>
      </w:pPr>
      <w:r>
        <w:t>Ввиду того, что инвестиционная деятельность Фонда в части покупки корпоративных ценных бумаг не является приоритетной и количество сделок по покупке в рамках одного отчётного года может достигать нуля, рыночные риски и риски ликвидности не являются рисками, которые могут нанести критический ущерб. Данные риски нивелируются наличием четких ограничений в нормативных документах Фонда по заимствованию и управлению ВСД.</w:t>
      </w:r>
    </w:p>
    <w:p w14:paraId="152F159C" w14:textId="77777777" w:rsidR="00014C1A" w:rsidRDefault="00003B0B">
      <w:pPr>
        <w:ind w:firstLine="426"/>
        <w:jc w:val="both"/>
      </w:pPr>
      <w:r>
        <w:t>Поэтому должна продолжаться системная работа по приближению корпоративной системы управления рисками к лучшим мировым практикам. В дальнейшем Фонд будет проводить регулярную диагностику качества КСУР.</w:t>
      </w:r>
    </w:p>
    <w:p w14:paraId="4A5CC75B" w14:textId="77777777" w:rsidR="00014C1A" w:rsidRDefault="00003B0B">
      <w:pPr>
        <w:ind w:firstLine="426"/>
        <w:jc w:val="both"/>
      </w:pPr>
      <w:r>
        <w:t>Результаты данной работы Фонда будут измеряться следующими КПД:</w:t>
      </w:r>
    </w:p>
    <w:p w14:paraId="6458C50C" w14:textId="48961E30" w:rsidR="00014C1A" w:rsidRDefault="00003B0B">
      <w:pPr>
        <w:ind w:firstLine="426"/>
        <w:jc w:val="both"/>
      </w:pPr>
      <w:r>
        <w:lastRenderedPageBreak/>
        <w:t xml:space="preserve">- </w:t>
      </w:r>
      <w:r>
        <w:rPr>
          <w:lang w:val="en-US"/>
        </w:rPr>
        <w:t>ROA</w:t>
      </w:r>
      <w:r w:rsidRPr="007C286C">
        <w:t xml:space="preserve"> </w:t>
      </w:r>
      <w:r w:rsidR="00620748" w:rsidRPr="00EC6B6B">
        <w:t>к 2023 году</w:t>
      </w:r>
      <w:r>
        <w:t xml:space="preserve"> - 1%. </w:t>
      </w:r>
    </w:p>
    <w:p w14:paraId="3C8C5924" w14:textId="1FA5FB3A" w:rsidR="00014C1A" w:rsidRDefault="00003B0B">
      <w:pPr>
        <w:ind w:firstLine="426"/>
        <w:jc w:val="both"/>
      </w:pPr>
      <w:r>
        <w:t xml:space="preserve">- Доля кредитного портфеля от общих активов </w:t>
      </w:r>
      <w:r w:rsidR="00BF279A">
        <w:t>30</w:t>
      </w:r>
      <w:r>
        <w:t>% к 2023 году.</w:t>
      </w:r>
    </w:p>
    <w:p w14:paraId="38C77FE7" w14:textId="77777777" w:rsidR="004C4629" w:rsidRDefault="004C4629">
      <w:pPr>
        <w:ind w:firstLine="426"/>
        <w:jc w:val="both"/>
      </w:pPr>
    </w:p>
    <w:p w14:paraId="6F44969D" w14:textId="77777777" w:rsidR="00014C1A" w:rsidRDefault="00003B0B">
      <w:pPr>
        <w:ind w:firstLine="426"/>
        <w:jc w:val="both"/>
      </w:pPr>
      <w:bookmarkStart w:id="25" w:name="SUB3020300"/>
      <w:bookmarkEnd w:id="25"/>
      <w:r>
        <w:rPr>
          <w:b/>
          <w:bCs/>
        </w:rPr>
        <w:t>3.2.3. Автоматизация бизнес процессов</w:t>
      </w:r>
    </w:p>
    <w:p w14:paraId="3552EB63" w14:textId="77777777" w:rsidR="00014C1A" w:rsidRDefault="00003B0B">
      <w:pPr>
        <w:ind w:firstLine="426"/>
        <w:jc w:val="both"/>
      </w:pPr>
      <w:r>
        <w:rPr>
          <w:b/>
          <w:bCs/>
        </w:rPr>
        <w:t>Проведение оптимизации бизнес процессов Фонда.</w:t>
      </w:r>
    </w:p>
    <w:p w14:paraId="491D1399" w14:textId="77777777" w:rsidR="00014C1A" w:rsidRDefault="00003B0B">
      <w:pPr>
        <w:ind w:firstLine="426"/>
        <w:jc w:val="both"/>
      </w:pPr>
      <w:r>
        <w:t>С целью достижения максимальной результативности и эффективности бизнес-процессов в Фонде проводиться работа по построению системы управления бизнес-процессами, т.е. организация бизнеса через проектирование и управление бизнес-процессами. Данная система позволяет «увязать» бизнес-процессы со Стратегией развития Фонда, обеспечивая ее реализацию.</w:t>
      </w:r>
    </w:p>
    <w:p w14:paraId="7B85BE3A" w14:textId="77777777" w:rsidR="00014C1A" w:rsidRDefault="00003B0B">
      <w:pPr>
        <w:ind w:firstLine="426"/>
        <w:jc w:val="both"/>
      </w:pPr>
      <w:r>
        <w:t>При формировании предложений по оптимизации бизнес-процессов будут учитываться следующие критерии:</w:t>
      </w:r>
    </w:p>
    <w:p w14:paraId="54DFBB9E" w14:textId="77777777" w:rsidR="00014C1A" w:rsidRDefault="00003B0B">
      <w:pPr>
        <w:ind w:firstLine="426"/>
        <w:jc w:val="both"/>
      </w:pPr>
      <w:r>
        <w:rPr>
          <w:rFonts w:ascii="Wingdings" w:hAnsi="Wingdings"/>
        </w:rPr>
        <w:t></w:t>
      </w:r>
      <w:r>
        <w:t xml:space="preserve"> снижение затрат времени на бизнес-процесс;</w:t>
      </w:r>
    </w:p>
    <w:p w14:paraId="262D82AD" w14:textId="77777777" w:rsidR="00014C1A" w:rsidRDefault="00003B0B">
      <w:pPr>
        <w:ind w:firstLine="426"/>
        <w:jc w:val="both"/>
      </w:pPr>
      <w:r>
        <w:rPr>
          <w:rFonts w:ascii="Wingdings" w:hAnsi="Wingdings"/>
        </w:rPr>
        <w:t></w:t>
      </w:r>
      <w:r>
        <w:t xml:space="preserve"> повышение контролируемости бизнес-процесса;</w:t>
      </w:r>
    </w:p>
    <w:p w14:paraId="3AFAFE5D" w14:textId="77777777" w:rsidR="00014C1A" w:rsidRDefault="00003B0B">
      <w:pPr>
        <w:ind w:firstLine="426"/>
        <w:jc w:val="both"/>
      </w:pPr>
      <w:r>
        <w:rPr>
          <w:rFonts w:ascii="Wingdings" w:hAnsi="Wingdings"/>
        </w:rPr>
        <w:t></w:t>
      </w:r>
      <w:r>
        <w:t xml:space="preserve"> соответствие предлагаемых решений текущему законодательству и внутренним документам;</w:t>
      </w:r>
    </w:p>
    <w:p w14:paraId="49FD159E" w14:textId="77777777" w:rsidR="00014C1A" w:rsidRDefault="00003B0B">
      <w:pPr>
        <w:ind w:firstLine="426"/>
        <w:jc w:val="both"/>
      </w:pPr>
      <w:r>
        <w:rPr>
          <w:rFonts w:ascii="Wingdings" w:hAnsi="Wingdings"/>
        </w:rPr>
        <w:t></w:t>
      </w:r>
      <w:r>
        <w:t xml:space="preserve"> повышение качества предоставления государственной услуги;</w:t>
      </w:r>
    </w:p>
    <w:p w14:paraId="0D333474" w14:textId="77777777" w:rsidR="00014C1A" w:rsidRDefault="00003B0B">
      <w:pPr>
        <w:ind w:firstLine="426"/>
        <w:jc w:val="both"/>
      </w:pPr>
      <w:r>
        <w:rPr>
          <w:rFonts w:ascii="Wingdings" w:hAnsi="Wingdings"/>
        </w:rPr>
        <w:t></w:t>
      </w:r>
      <w:r>
        <w:t xml:space="preserve"> исключение дублирования операций;</w:t>
      </w:r>
    </w:p>
    <w:p w14:paraId="007008C2" w14:textId="77777777" w:rsidR="00014C1A" w:rsidRDefault="00003B0B">
      <w:pPr>
        <w:ind w:firstLine="426"/>
        <w:jc w:val="both"/>
      </w:pPr>
      <w:r>
        <w:rPr>
          <w:rFonts w:ascii="Wingdings" w:hAnsi="Wingdings"/>
        </w:rPr>
        <w:t></w:t>
      </w:r>
      <w:r>
        <w:t xml:space="preserve"> перераспределение функционала;</w:t>
      </w:r>
    </w:p>
    <w:p w14:paraId="650C99F2" w14:textId="77777777" w:rsidR="00014C1A" w:rsidRDefault="00003B0B">
      <w:pPr>
        <w:ind w:firstLine="426"/>
        <w:jc w:val="both"/>
      </w:pPr>
      <w:r>
        <w:rPr>
          <w:rFonts w:ascii="Wingdings" w:hAnsi="Wingdings"/>
        </w:rPr>
        <w:t></w:t>
      </w:r>
      <w:r>
        <w:t xml:space="preserve"> возможность автоматизации операций;</w:t>
      </w:r>
    </w:p>
    <w:p w14:paraId="2F7ABDD8" w14:textId="77777777" w:rsidR="00014C1A" w:rsidRDefault="00003B0B">
      <w:pPr>
        <w:ind w:firstLine="426"/>
        <w:jc w:val="both"/>
      </w:pPr>
      <w:r>
        <w:rPr>
          <w:rFonts w:ascii="Wingdings" w:hAnsi="Wingdings"/>
        </w:rPr>
        <w:t></w:t>
      </w:r>
      <w:r>
        <w:t xml:space="preserve"> сокращение бумажного документооборота. </w:t>
      </w:r>
    </w:p>
    <w:p w14:paraId="172885AF" w14:textId="77777777" w:rsidR="006A4325" w:rsidRDefault="006A4325">
      <w:pPr>
        <w:ind w:firstLine="426"/>
        <w:jc w:val="both"/>
        <w:rPr>
          <w:b/>
          <w:bCs/>
        </w:rPr>
      </w:pPr>
    </w:p>
    <w:p w14:paraId="12D1E01D" w14:textId="41B9FCEA" w:rsidR="00014C1A" w:rsidRDefault="00003B0B">
      <w:pPr>
        <w:ind w:firstLine="426"/>
        <w:jc w:val="both"/>
      </w:pPr>
      <w:r>
        <w:rPr>
          <w:b/>
          <w:bCs/>
        </w:rPr>
        <w:t>Автоматизация фронт и обслуживающих бизнес процессов.</w:t>
      </w:r>
    </w:p>
    <w:p w14:paraId="188F6771" w14:textId="77777777" w:rsidR="00014C1A" w:rsidRDefault="00003B0B">
      <w:pPr>
        <w:ind w:firstLine="426"/>
        <w:jc w:val="both"/>
      </w:pPr>
      <w:r>
        <w:t>Учитывая, что фронтальные (основные) бизнес процессы, это процессы предоставления продуктов/услуг клиентам ММСП, которые и являются направлениями основной деятельности Фонда, продолжаются работы по внедрению следующих проектов:</w:t>
      </w:r>
    </w:p>
    <w:p w14:paraId="508028A6" w14:textId="3DF150D4" w:rsidR="00014C1A" w:rsidRDefault="00003B0B">
      <w:pPr>
        <w:ind w:firstLine="426"/>
        <w:jc w:val="both"/>
      </w:pPr>
      <w:r>
        <w:rPr>
          <w:rFonts w:ascii="Wingdings" w:hAnsi="Wingdings"/>
          <w:lang w:val="fr-FR"/>
        </w:rPr>
        <w:t></w:t>
      </w:r>
      <w:r>
        <w:rPr>
          <w:lang w:val="fr-FR"/>
        </w:rPr>
        <w:t xml:space="preserve"> </w:t>
      </w:r>
      <w:r>
        <w:t>по автоматизации государственн</w:t>
      </w:r>
      <w:r w:rsidR="003448B8">
        <w:t>ых</w:t>
      </w:r>
      <w:r>
        <w:t xml:space="preserve"> услуг</w:t>
      </w:r>
      <w:r w:rsidR="003448B8">
        <w:t xml:space="preserve"> по предоставлению гарантий и субсидирования части ставки вознаграждения по кредитам в рамках реализации национального проекта по развитию предпринимательства на 2021 – 2025 годы</w:t>
      </w:r>
      <w:r>
        <w:t>;</w:t>
      </w:r>
    </w:p>
    <w:p w14:paraId="3EA6934A" w14:textId="0141834C" w:rsidR="00014C1A" w:rsidRDefault="00003B0B" w:rsidP="003448B8">
      <w:pPr>
        <w:ind w:firstLine="426"/>
        <w:jc w:val="both"/>
      </w:pPr>
      <w:r>
        <w:rPr>
          <w:rFonts w:ascii="Wingdings" w:hAnsi="Wingdings"/>
          <w:lang w:val="fr-FR"/>
        </w:rPr>
        <w:t></w:t>
      </w:r>
      <w:r>
        <w:rPr>
          <w:lang w:val="fr-FR"/>
        </w:rPr>
        <w:t xml:space="preserve"> </w:t>
      </w:r>
      <w:r w:rsidR="003448B8">
        <w:t>по модернизации интернет-портала «</w:t>
      </w:r>
      <w:r w:rsidR="003448B8">
        <w:rPr>
          <w:lang w:val="en-US"/>
        </w:rPr>
        <w:t>Online</w:t>
      </w:r>
      <w:r w:rsidR="003448B8" w:rsidRPr="00C10FEF">
        <w:t xml:space="preserve"> </w:t>
      </w:r>
      <w:r w:rsidR="003448B8">
        <w:rPr>
          <w:lang w:val="en-US"/>
        </w:rPr>
        <w:t>Damu</w:t>
      </w:r>
      <w:r w:rsidR="003448B8">
        <w:t>»</w:t>
      </w:r>
      <w:r>
        <w:rPr>
          <w:lang w:val="fr-FR"/>
        </w:rPr>
        <w:t>.</w:t>
      </w:r>
    </w:p>
    <w:p w14:paraId="176D60A4" w14:textId="77777777" w:rsidR="00014C1A" w:rsidRDefault="00003B0B">
      <w:pPr>
        <w:ind w:firstLine="426"/>
        <w:jc w:val="both"/>
      </w:pPr>
      <w:r>
        <w:t>Кроме того, для корректного функционирования обслуживающих (обеспечивающих) процессов - это процессов, формирующих инфраструктуру Фонда и обслуживающих основные и управляющие процессы, клиентами которых данных процессов являются структурные подразделения и работники Фонда в портфель проектов включены и проводятся работы по следующим проектам:</w:t>
      </w:r>
    </w:p>
    <w:p w14:paraId="5A21367D" w14:textId="77777777" w:rsidR="00014C1A" w:rsidRDefault="00003B0B">
      <w:pPr>
        <w:ind w:firstLine="426"/>
        <w:jc w:val="both"/>
      </w:pPr>
      <w:r>
        <w:rPr>
          <w:rFonts w:ascii="Wingdings" w:hAnsi="Wingdings"/>
          <w:lang w:val="fr-FR"/>
        </w:rPr>
        <w:t></w:t>
      </w:r>
      <w:r>
        <w:rPr>
          <w:lang w:val="fr-FR"/>
        </w:rPr>
        <w:t xml:space="preserve"> </w:t>
      </w:r>
      <w:r>
        <w:t xml:space="preserve">по автоматизации отчетов, получаемых от партнеров Фонда; </w:t>
      </w:r>
    </w:p>
    <w:p w14:paraId="7F4878A4" w14:textId="0A44D176" w:rsidR="00014C1A" w:rsidRDefault="00003B0B" w:rsidP="003448B8">
      <w:pPr>
        <w:ind w:firstLine="426"/>
        <w:jc w:val="both"/>
      </w:pPr>
      <w:r>
        <w:rPr>
          <w:rFonts w:ascii="Wingdings" w:hAnsi="Wingdings"/>
          <w:lang w:val="fr-FR"/>
        </w:rPr>
        <w:t></w:t>
      </w:r>
      <w:r>
        <w:rPr>
          <w:lang w:val="fr-FR"/>
        </w:rPr>
        <w:t xml:space="preserve"> </w:t>
      </w:r>
      <w:r>
        <w:t xml:space="preserve">по автоматизации рейтинговой модели. </w:t>
      </w:r>
    </w:p>
    <w:p w14:paraId="194A55F9" w14:textId="6BDC5F59" w:rsidR="003448B8" w:rsidRDefault="003448B8" w:rsidP="003448B8">
      <w:pPr>
        <w:ind w:firstLine="426"/>
        <w:jc w:val="both"/>
      </w:pPr>
      <w:r>
        <w:t>Также в целях получения оперативных и качественных данных для принятий решений в Фонде внедряется проект «Корпоративное хранилище данных».</w:t>
      </w:r>
    </w:p>
    <w:p w14:paraId="1A492125" w14:textId="77777777" w:rsidR="00014C1A" w:rsidRDefault="00003B0B">
      <w:pPr>
        <w:ind w:firstLine="426"/>
        <w:jc w:val="both"/>
      </w:pPr>
      <w:r>
        <w:t xml:space="preserve">Результаты данной работы Фонда будут измеряться следующими КПД: </w:t>
      </w:r>
    </w:p>
    <w:p w14:paraId="02893BC5" w14:textId="4366C743" w:rsidR="00014C1A" w:rsidRDefault="00003B0B">
      <w:pPr>
        <w:ind w:firstLine="426"/>
        <w:jc w:val="both"/>
      </w:pPr>
      <w:r>
        <w:t xml:space="preserve">- Автоматизация основных бизнес процессов к </w:t>
      </w:r>
      <w:r w:rsidR="00812EBC">
        <w:t>3</w:t>
      </w:r>
      <w:r>
        <w:t xml:space="preserve">1 </w:t>
      </w:r>
      <w:r w:rsidR="00812EBC">
        <w:t xml:space="preserve">декабря 2023 </w:t>
      </w:r>
      <w:r>
        <w:t>года составит 100%.</w:t>
      </w:r>
    </w:p>
    <w:p w14:paraId="40F90112" w14:textId="77777777" w:rsidR="004C4629" w:rsidRDefault="004C4629">
      <w:pPr>
        <w:ind w:firstLine="426"/>
        <w:jc w:val="both"/>
      </w:pPr>
    </w:p>
    <w:p w14:paraId="65C6B84D" w14:textId="77777777" w:rsidR="00014C1A" w:rsidRDefault="00003B0B">
      <w:pPr>
        <w:ind w:firstLine="426"/>
        <w:jc w:val="both"/>
      </w:pPr>
      <w:bookmarkStart w:id="26" w:name="SUB3020400"/>
      <w:bookmarkEnd w:id="26"/>
      <w:r>
        <w:rPr>
          <w:b/>
          <w:bCs/>
        </w:rPr>
        <w:t>3.2.4. Повышение уровня корпоративного управления</w:t>
      </w:r>
    </w:p>
    <w:p w14:paraId="1399439C" w14:textId="77777777" w:rsidR="00014C1A" w:rsidRDefault="00003B0B">
      <w:pPr>
        <w:ind w:firstLine="426"/>
        <w:jc w:val="both"/>
      </w:pPr>
      <w:r>
        <w:rPr>
          <w:b/>
          <w:bCs/>
        </w:rPr>
        <w:t>Введение системы оценки качества оказанных Фондом услуг.</w:t>
      </w:r>
    </w:p>
    <w:p w14:paraId="79C375C9" w14:textId="77777777" w:rsidR="00014C1A" w:rsidRDefault="00003B0B">
      <w:pPr>
        <w:ind w:firstLine="426"/>
        <w:jc w:val="both"/>
      </w:pPr>
      <w:r>
        <w:t xml:space="preserve">В 18 Центрах обслуживания предпринимателей в операционных залах установлены сенсорные устройства </w:t>
      </w:r>
      <w:r>
        <w:rPr>
          <w:lang w:val="fr-FR"/>
        </w:rPr>
        <w:t xml:space="preserve">CRM, </w:t>
      </w:r>
      <w:r>
        <w:t xml:space="preserve">которые позволяют оценить качество оказываемых услуг путем анкетирования клиентов после оказания им услуг. Кроме этого, данные устройства позволяют формировать рейтинг консультантов, обеспечить оперативный сбор всесторонней информации по мониторингу качества услуг и удовлетворенности клиентов, обратившихся в Центры обслуживания предпринимателей. Также устройства имеют функциональность, которая позволяет отслеживать стандарты качества обслуживания </w:t>
      </w:r>
      <w:r>
        <w:lastRenderedPageBreak/>
        <w:t>клиентов, через аудио и видео запись разговоров с клиентами, что особенно эффективно в случае наличия рекламаций клиентов.</w:t>
      </w:r>
    </w:p>
    <w:p w14:paraId="3D86E817" w14:textId="77777777" w:rsidR="006A4325" w:rsidRDefault="006A4325">
      <w:pPr>
        <w:ind w:firstLine="426"/>
        <w:jc w:val="both"/>
        <w:rPr>
          <w:b/>
          <w:bCs/>
        </w:rPr>
      </w:pPr>
    </w:p>
    <w:p w14:paraId="5A8A901C" w14:textId="41037AB2" w:rsidR="00014C1A" w:rsidRDefault="00003B0B">
      <w:pPr>
        <w:ind w:firstLine="426"/>
        <w:jc w:val="both"/>
      </w:pPr>
      <w:r>
        <w:rPr>
          <w:b/>
          <w:bCs/>
        </w:rPr>
        <w:t>Обеспечение транспарентности деятельности Фонда.</w:t>
      </w:r>
    </w:p>
    <w:p w14:paraId="10C77830" w14:textId="77777777" w:rsidR="00014C1A" w:rsidRDefault="00003B0B">
      <w:pPr>
        <w:ind w:firstLine="426"/>
        <w:jc w:val="both"/>
      </w:pPr>
      <w:r>
        <w:t>Фонд «Даму» ведет постоянную работу по совершенствованию корпоративного управления в рамках единой политики, определенной Единственным акционером, и направленной на повышение привлекательности Фонда для потенциальных инвесторов, повышение его долгосрочной стоимости, снижение стоимости заемного капитала. Повышение транспарентности деятельности повысит уровень доверия к работе Фонда и позитивно отразится на привлечении внешнего фондирования и на его стоимости.</w:t>
      </w:r>
    </w:p>
    <w:p w14:paraId="4F5A8022" w14:textId="77777777" w:rsidR="00014C1A" w:rsidRDefault="00003B0B">
      <w:pPr>
        <w:ind w:firstLine="426"/>
        <w:jc w:val="both"/>
      </w:pPr>
      <w:r>
        <w:t>В соответствии с действующим законодательством Республики Казахстан об акционерных обществах, Фонд будет раскрывать достоверную и актуальную информацию о своей деятельности, финансовом состоянии, кредитной и дивидендной политиках и др. Повышение прозрачности деятельности также необходимо для повышения уровня доверия стейкхолдеров к деятельности Фонда.</w:t>
      </w:r>
    </w:p>
    <w:p w14:paraId="5DF2891E" w14:textId="77777777" w:rsidR="00014C1A" w:rsidRDefault="00003B0B">
      <w:pPr>
        <w:ind w:firstLine="426"/>
        <w:jc w:val="both"/>
      </w:pPr>
      <w:r>
        <w:t>Новый уровень прозрачности Фонда, как для внутренних, так и внешних заинтересованных лиц будет включать несколько направлений:</w:t>
      </w:r>
    </w:p>
    <w:p w14:paraId="3C832BE6" w14:textId="77777777" w:rsidR="00014C1A" w:rsidRDefault="00003B0B">
      <w:pPr>
        <w:ind w:firstLine="426"/>
        <w:jc w:val="both"/>
      </w:pPr>
      <w:r>
        <w:t>1) проактивная коммуникация подходов к принятию инвестиционных и стратегических решений;</w:t>
      </w:r>
    </w:p>
    <w:p w14:paraId="0F37F4E5" w14:textId="77777777" w:rsidR="00014C1A" w:rsidRDefault="00003B0B">
      <w:pPr>
        <w:ind w:firstLine="426"/>
        <w:jc w:val="both"/>
      </w:pPr>
      <w:r>
        <w:t>2) всестороннее и своевременное информирование ММСП и партнеров об инструментах поддержки;</w:t>
      </w:r>
    </w:p>
    <w:p w14:paraId="70BA9C9A" w14:textId="77777777" w:rsidR="00014C1A" w:rsidRDefault="00003B0B">
      <w:pPr>
        <w:ind w:firstLine="426"/>
        <w:jc w:val="both"/>
      </w:pPr>
      <w:r>
        <w:t>3) информирование о достигнутом социально-экономическом эффекте, в рамках размещаемого ежеквартального отчета о реализации Плана развития Фонда;</w:t>
      </w:r>
    </w:p>
    <w:p w14:paraId="4216AE9D" w14:textId="77777777" w:rsidR="00014C1A" w:rsidRDefault="00003B0B">
      <w:pPr>
        <w:ind w:firstLine="426"/>
        <w:jc w:val="both"/>
      </w:pPr>
      <w:r>
        <w:t>4) организация диалоговых площадок для внешних заинтересованных сторон:</w:t>
      </w:r>
    </w:p>
    <w:p w14:paraId="7B35A1CF" w14:textId="77777777" w:rsidR="00014C1A" w:rsidRDefault="00003B0B">
      <w:pPr>
        <w:ind w:firstLine="426"/>
        <w:jc w:val="both"/>
      </w:pPr>
      <w:r>
        <w:t>- организация регулярных встреч с потенциальными стейкхолдерами (круглые столы, выставки, конференции, размещение информации в открытом доступе в т.ч. в социальных сетях);</w:t>
      </w:r>
    </w:p>
    <w:p w14:paraId="538D8E2A" w14:textId="77777777" w:rsidR="00014C1A" w:rsidRDefault="00003B0B">
      <w:pPr>
        <w:ind w:firstLine="426"/>
        <w:jc w:val="both"/>
      </w:pPr>
      <w:r>
        <w:t>- доведение до ММСП и партнеров информацию о новых инструментах/программах и принципах работы;</w:t>
      </w:r>
    </w:p>
    <w:p w14:paraId="7893C6C8" w14:textId="77777777" w:rsidR="00014C1A" w:rsidRDefault="00003B0B">
      <w:pPr>
        <w:ind w:firstLine="426"/>
        <w:jc w:val="both"/>
      </w:pPr>
      <w:r>
        <w:t>- получение обратной связи.</w:t>
      </w:r>
    </w:p>
    <w:p w14:paraId="583DEB94" w14:textId="77777777" w:rsidR="00014C1A" w:rsidRDefault="00003B0B">
      <w:pPr>
        <w:ind w:firstLine="426"/>
        <w:jc w:val="both"/>
      </w:pPr>
      <w:r>
        <w:t>В целом для улучшения качества корпоративного управления в Фонде проводится диагностика корпоративного управления на основе методик лучшей мировой практики. Целью диагностики является повышение уровня корпоративного управления, путем структурированного и последовательного подхода к оценке и развитию системы корпоративного управления, на основе лучшей мировой практики.</w:t>
      </w:r>
    </w:p>
    <w:p w14:paraId="1D7C41A9" w14:textId="77777777" w:rsidR="006A4325" w:rsidRDefault="006A4325">
      <w:pPr>
        <w:ind w:firstLine="426"/>
        <w:jc w:val="both"/>
        <w:rPr>
          <w:b/>
          <w:bCs/>
        </w:rPr>
      </w:pPr>
    </w:p>
    <w:p w14:paraId="5A836F98" w14:textId="47A19920" w:rsidR="00014C1A" w:rsidRDefault="00003B0B">
      <w:pPr>
        <w:ind w:firstLine="426"/>
        <w:jc w:val="both"/>
      </w:pPr>
      <w:r>
        <w:rPr>
          <w:b/>
          <w:bCs/>
        </w:rPr>
        <w:t xml:space="preserve">Пропагандирование деятельности Фонда через партнерские, общественные организации и средствами массовой информации (далее </w:t>
      </w:r>
      <w:r>
        <w:t xml:space="preserve">- </w:t>
      </w:r>
      <w:r>
        <w:rPr>
          <w:b/>
          <w:bCs/>
        </w:rPr>
        <w:t>СМИ).</w:t>
      </w:r>
    </w:p>
    <w:p w14:paraId="7F5D0A75" w14:textId="77777777" w:rsidR="00014C1A" w:rsidRDefault="00003B0B">
      <w:pPr>
        <w:ind w:firstLine="426"/>
        <w:jc w:val="both"/>
      </w:pPr>
      <w:r>
        <w:t>Коммуникационная деятельность Фонда продолжит осуществляться в соответствии с актуальными современными тенденциями и лучшей практикой. Работа в данном направлении будет способствовать укреплению общественного доверия к Акционеру, институтам развития, государственным органам и в целом к политике государства в части поддержки ММСП.</w:t>
      </w:r>
    </w:p>
    <w:p w14:paraId="2F672E74" w14:textId="77777777" w:rsidR="00014C1A" w:rsidRDefault="00003B0B">
      <w:pPr>
        <w:ind w:firstLine="426"/>
        <w:jc w:val="both"/>
      </w:pPr>
      <w:r>
        <w:t>Важным фактором роста доверия целевых аудиторий к деятельности Фонда станет выбор форм и методов взаимодействия с общественностью. Эффективному решению основных коммуникационных задач будут способствовать налаженные связи с партнерскими и общественными организациями, СМИ и работа с социальными сетями способствует решению.</w:t>
      </w:r>
    </w:p>
    <w:p w14:paraId="246DED09" w14:textId="77777777" w:rsidR="00014C1A" w:rsidRDefault="00003B0B">
      <w:pPr>
        <w:ind w:firstLine="426"/>
        <w:jc w:val="both"/>
      </w:pPr>
      <w:r>
        <w:t>В части повышения информированности о деятельности Фонда через партнерские организации и СМИ Стратегией развития предусматривается реализация следующих мероприятий партнерские организации (БВУ, МФО, ПК): выпуск совместных пресс-</w:t>
      </w:r>
      <w:r>
        <w:lastRenderedPageBreak/>
        <w:t>релизов, подписание соглашений/меморандумов, взаимодействие с общественными организациями.</w:t>
      </w:r>
    </w:p>
    <w:p w14:paraId="282B4465" w14:textId="77777777" w:rsidR="00014C1A" w:rsidRDefault="00003B0B">
      <w:pPr>
        <w:ind w:firstLine="426"/>
        <w:jc w:val="both"/>
      </w:pPr>
      <w:r>
        <w:t>По направлению взаимодействия со СМИ: размещение информации в СМИ (интернет-порталы, ТВ, радио, печатные издания), размещение пресс-релизов, интервью, аналитических материалов, рекламных и имиджевых аудио-видеоматериалов, инфографик, фотогалереи с мероприятий, освещение важных событий/мероприятий, проведение дней открытых дверей с освещением в СМИ.</w:t>
      </w:r>
    </w:p>
    <w:p w14:paraId="1EEB8D2B" w14:textId="77777777" w:rsidR="00014C1A" w:rsidRDefault="00003B0B">
      <w:pPr>
        <w:ind w:firstLine="426"/>
        <w:jc w:val="both"/>
      </w:pPr>
      <w:r>
        <w:t>На сегодняшний день востребованным инструментом продвижения являются социальные сети. Так, в данном направлении Фонд ведет активную работу по размещению на страницах постов/публикаций, фотоматериалов, информационно-разъяснительных, рекламных и имиджевых видеоматериалов, инфографик, освещению важных событий/мероприятий, а также успешных историй ММСП получивших поддержку.</w:t>
      </w:r>
    </w:p>
    <w:p w14:paraId="1D66D592" w14:textId="77777777" w:rsidR="006A4325" w:rsidRDefault="006A4325">
      <w:pPr>
        <w:ind w:firstLine="426"/>
        <w:jc w:val="both"/>
        <w:rPr>
          <w:b/>
          <w:bCs/>
        </w:rPr>
      </w:pPr>
    </w:p>
    <w:p w14:paraId="4D93601F" w14:textId="39B9866D" w:rsidR="00014C1A" w:rsidRDefault="00003B0B">
      <w:pPr>
        <w:ind w:firstLine="426"/>
        <w:jc w:val="both"/>
      </w:pPr>
      <w:r>
        <w:rPr>
          <w:b/>
          <w:bCs/>
        </w:rPr>
        <w:t>Экспертное сопровождение аналитических исследований международных организаций развития в сфере ММСП (ОЭСР и т.д.).</w:t>
      </w:r>
    </w:p>
    <w:p w14:paraId="29DB5344" w14:textId="77777777" w:rsidR="00014C1A" w:rsidRDefault="00003B0B">
      <w:pPr>
        <w:ind w:firstLine="426"/>
        <w:jc w:val="both"/>
      </w:pPr>
      <w:r>
        <w:t>Фонд, как основной институт поддержки ММСП в Казахстане, на постоянной основе будет проводить мониторинг и анализ основных показателей развития данного сектора, результаты которого будут публиковаться в виде периодических отчетов, доступных для широкой аудитории. С целью продвижения инвестиционных возможностей Казахстана для зарубежных организаций, а также для повышения статуса участия Казахстана в международных организациях Фонд будет осуществлять экспертное сопровождение аналитических исследований международных организаций развития в сфере ММСП, таких как «Финансирование ММСП и предпринимателей» (ОЭСР), «Обзор финансирования ММСП в Азии» (АБР) и т.д.</w:t>
      </w:r>
    </w:p>
    <w:p w14:paraId="3971CB0D" w14:textId="77777777" w:rsidR="00E87124" w:rsidRDefault="00E87124">
      <w:pPr>
        <w:ind w:firstLine="426"/>
        <w:jc w:val="both"/>
        <w:rPr>
          <w:b/>
          <w:bCs/>
        </w:rPr>
      </w:pPr>
    </w:p>
    <w:p w14:paraId="5E160E8D" w14:textId="7AF23896" w:rsidR="00014C1A" w:rsidRDefault="00003B0B">
      <w:pPr>
        <w:ind w:firstLine="426"/>
        <w:jc w:val="both"/>
      </w:pPr>
      <w:r>
        <w:rPr>
          <w:b/>
          <w:bCs/>
        </w:rPr>
        <w:t>Развитие персонала</w:t>
      </w:r>
    </w:p>
    <w:p w14:paraId="0F390F91" w14:textId="77777777" w:rsidR="00014C1A" w:rsidRDefault="00003B0B">
      <w:pPr>
        <w:ind w:firstLine="426"/>
        <w:jc w:val="both"/>
      </w:pPr>
      <w:r>
        <w:t>Для обеспечения Фонда необходимыми человеческими ресурсами с необходимой квалификацией и требуемой мотивацией, Фонд в рамках Стратегии проводит активную работу по развитию персонала. Задачами кадровой политики Фонда являются привлечение и удержание в Фонде профессионалов, способных внести вклад в развитие и рост эффективности Фонда. Кадровая политика Фонда, с учетом единого подхода ко всем дочерним организациям Холдинга, будет развиваться по следующим направлениям:</w:t>
      </w:r>
    </w:p>
    <w:p w14:paraId="1B16E713" w14:textId="77777777" w:rsidR="00014C1A" w:rsidRDefault="00003B0B">
      <w:pPr>
        <w:ind w:firstLine="426"/>
        <w:jc w:val="both"/>
      </w:pPr>
      <w:r>
        <w:t>1) планирование трудовых ресурсов будет осуществляться через применение открытого конкурсного отбора, обеспечивающего прозрачность, а также за счет создания кадрового резерва из лучших работников Фонда;</w:t>
      </w:r>
    </w:p>
    <w:p w14:paraId="58AB7C9F" w14:textId="77777777" w:rsidR="00014C1A" w:rsidRDefault="00003B0B">
      <w:pPr>
        <w:ind w:firstLine="426"/>
        <w:jc w:val="both"/>
      </w:pPr>
      <w:r>
        <w:t>2) повышение уровня производительности труда работников будет проводиться через оценку деятельности, способом применения ключевых показателей деятельности, аттестации персонала и мотивационных программ;</w:t>
      </w:r>
    </w:p>
    <w:p w14:paraId="45D8CCDB" w14:textId="77777777" w:rsidR="00014C1A" w:rsidRDefault="00003B0B">
      <w:pPr>
        <w:ind w:firstLine="426"/>
        <w:jc w:val="both"/>
      </w:pPr>
      <w:r>
        <w:t>3) продуктивное управление человеческим капиталом обеспечит система постоянного обучения и развития персонала, внедрение и применение в трудовых процессах современных технологий и систем управления информацией, в том числе автоматизации процессов управления знаниями;</w:t>
      </w:r>
    </w:p>
    <w:p w14:paraId="2937D962" w14:textId="77777777" w:rsidR="00014C1A" w:rsidRDefault="00003B0B">
      <w:pPr>
        <w:ind w:firstLine="426"/>
        <w:jc w:val="both"/>
      </w:pPr>
      <w:r>
        <w:t>4) обеспечение справедливого и конкурентоспособного вознаграждения за труд на основе внедренной системы грейдов и с учетом обзора заработных плат на рынке.</w:t>
      </w:r>
    </w:p>
    <w:p w14:paraId="1175C87F" w14:textId="77777777" w:rsidR="00E87124" w:rsidRDefault="00E87124" w:rsidP="00812EBC">
      <w:pPr>
        <w:ind w:firstLine="567"/>
        <w:jc w:val="both"/>
        <w:rPr>
          <w:b/>
          <w:color w:val="auto"/>
        </w:rPr>
      </w:pPr>
    </w:p>
    <w:p w14:paraId="033846F7" w14:textId="38B4F708" w:rsidR="00812EBC" w:rsidRPr="004A57BC" w:rsidRDefault="00812EBC" w:rsidP="00812EBC">
      <w:pPr>
        <w:ind w:firstLine="567"/>
        <w:jc w:val="both"/>
        <w:rPr>
          <w:color w:val="auto"/>
        </w:rPr>
      </w:pPr>
      <w:r w:rsidRPr="004A57BC">
        <w:rPr>
          <w:b/>
          <w:color w:val="auto"/>
        </w:rPr>
        <w:t>Внедрение принципов устойчивого развития</w:t>
      </w:r>
    </w:p>
    <w:p w14:paraId="21072DA3" w14:textId="77777777" w:rsidR="00812EBC" w:rsidRPr="004A57BC" w:rsidRDefault="00812EBC" w:rsidP="00812EBC">
      <w:pPr>
        <w:tabs>
          <w:tab w:val="left" w:pos="709"/>
        </w:tabs>
        <w:ind w:firstLine="709"/>
        <w:jc w:val="both"/>
      </w:pPr>
      <w:r w:rsidRPr="004A57BC">
        <w:rPr>
          <w:bCs/>
        </w:rPr>
        <w:t>Устойчивое развитие</w:t>
      </w:r>
      <w:r w:rsidRPr="004A57BC">
        <w:t xml:space="preserve"> – это развитие, которое удовлетворяет потребности нынешнего поколения и при этом не ставит под угрозу способность будущих поколений удовлетворять свои собственные потребности.</w:t>
      </w:r>
    </w:p>
    <w:p w14:paraId="2B6E9561" w14:textId="77777777" w:rsidR="00812EBC" w:rsidRPr="004A57BC" w:rsidRDefault="00812EBC" w:rsidP="00812EBC">
      <w:pPr>
        <w:ind w:firstLine="708"/>
        <w:jc w:val="both"/>
      </w:pPr>
      <w:r w:rsidRPr="004A57BC">
        <w:t xml:space="preserve">Развитые страны мира через институты развития стремятся способствовать устойчивому развитию своих экономик, все больше уделяя внимание экологическим и </w:t>
      </w:r>
      <w:r w:rsidRPr="004A57BC">
        <w:lastRenderedPageBreak/>
        <w:t xml:space="preserve">социальным аспектам при предоставлении финансовой поддержки, которые являются основополагающими для достижения социально значимых результатов. </w:t>
      </w:r>
    </w:p>
    <w:p w14:paraId="4C658430" w14:textId="77777777" w:rsidR="00812EBC" w:rsidRPr="004A57BC" w:rsidRDefault="00812EBC" w:rsidP="00812EBC">
      <w:pPr>
        <w:pStyle w:val="20"/>
        <w:shd w:val="clear" w:color="auto" w:fill="auto"/>
        <w:tabs>
          <w:tab w:val="left" w:pos="0"/>
          <w:tab w:val="left" w:pos="993"/>
        </w:tabs>
        <w:spacing w:before="0" w:line="240" w:lineRule="auto"/>
        <w:ind w:firstLine="567"/>
        <w:rPr>
          <w:sz w:val="24"/>
          <w:szCs w:val="24"/>
        </w:rPr>
      </w:pPr>
      <w:r w:rsidRPr="004A57BC">
        <w:rPr>
          <w:sz w:val="24"/>
          <w:szCs w:val="24"/>
        </w:rPr>
        <w:t xml:space="preserve">Фонд осознает важность своего влияния на экономику, экологию и общество для обеспечения устойчивого развития в долгосрочном периоде, соблюдая баланс интересов заинтересованных сторон. Подход ответственного, продуманного и рационального взаимодействия с заинтересованными сторонами будет способствовать устойчивому развитию Фонда. </w:t>
      </w:r>
    </w:p>
    <w:p w14:paraId="6D8D14BE" w14:textId="77777777" w:rsidR="00812EBC" w:rsidRPr="004A57BC" w:rsidRDefault="00812EBC" w:rsidP="00812EBC">
      <w:pPr>
        <w:pStyle w:val="20"/>
        <w:shd w:val="clear" w:color="auto" w:fill="auto"/>
        <w:tabs>
          <w:tab w:val="left" w:pos="0"/>
          <w:tab w:val="left" w:pos="993"/>
        </w:tabs>
        <w:spacing w:before="0" w:line="240" w:lineRule="auto"/>
        <w:ind w:firstLine="567"/>
        <w:rPr>
          <w:sz w:val="24"/>
          <w:szCs w:val="24"/>
        </w:rPr>
      </w:pPr>
      <w:r w:rsidRPr="004A57BC">
        <w:rPr>
          <w:sz w:val="24"/>
          <w:szCs w:val="24"/>
        </w:rPr>
        <w:t>При достижении цели экономически эффективной и устойчивой деятельности Фонд следует передовой международной практике в экологических и социальных вопросах, а также в вопросах корпоративного управления (факторы ESG) в рамках проектов, получающих финансовую поддержку Фонда, с целью развития практики ответственного инвестирования в соответствии с основными международными стандартами в этой области - Принципами ответственного инвестирования Организаций объединённых наций и Принципами Экватора.</w:t>
      </w:r>
    </w:p>
    <w:p w14:paraId="5861A360" w14:textId="77777777" w:rsidR="00812EBC" w:rsidRPr="004A57BC" w:rsidRDefault="00812EBC" w:rsidP="00812EBC">
      <w:pPr>
        <w:ind w:firstLine="567"/>
        <w:jc w:val="both"/>
        <w:rPr>
          <w:color w:val="auto"/>
        </w:rPr>
      </w:pPr>
      <w:r w:rsidRPr="004A57BC">
        <w:rPr>
          <w:color w:val="auto"/>
        </w:rPr>
        <w:t>Использование международных стандартов в области устойчивого развития Фонд рассматривает как необходимое условие обеспечения соответствия своей деятельности лучшей международной практике и достижения целей и задач в области устойчивого развития.</w:t>
      </w:r>
    </w:p>
    <w:p w14:paraId="34C57883" w14:textId="1D1A28D2" w:rsidR="00812EBC" w:rsidRPr="004A57BC" w:rsidRDefault="00812EBC" w:rsidP="00812EBC">
      <w:pPr>
        <w:tabs>
          <w:tab w:val="left" w:pos="993"/>
        </w:tabs>
        <w:ind w:firstLine="567"/>
        <w:jc w:val="both"/>
        <w:rPr>
          <w:color w:val="auto"/>
        </w:rPr>
      </w:pPr>
      <w:r w:rsidRPr="004A57BC">
        <w:rPr>
          <w:color w:val="auto"/>
          <w:szCs w:val="28"/>
        </w:rPr>
        <w:t>Фонд, в ходе осуществления своей деятельности оказывает влияние или испытывает на себе влияние заинтересованных сторон</w:t>
      </w:r>
      <w:r w:rsidRPr="004A57BC">
        <w:rPr>
          <w:color w:val="auto"/>
        </w:rPr>
        <w:t>. Заинтересованные стороны могут оказывать как положительное, так и негативное воздействие на деятельность Фонда, а именно на достижение рентабельности, устойчивое развитие, репутацию и имидж, создавать или снижать риски. Фонд уделяет важное значение надлежащему взаимодействию с заинтересованными сторонами.</w:t>
      </w:r>
    </w:p>
    <w:p w14:paraId="16ACFCE1" w14:textId="77777777" w:rsidR="00812EBC" w:rsidRPr="004A57BC" w:rsidRDefault="00812EBC" w:rsidP="00812EBC">
      <w:pPr>
        <w:ind w:firstLine="567"/>
        <w:jc w:val="both"/>
        <w:rPr>
          <w:color w:val="auto"/>
        </w:rPr>
      </w:pPr>
      <w:r w:rsidRPr="004A57BC">
        <w:rPr>
          <w:color w:val="auto"/>
        </w:rPr>
        <w:t xml:space="preserve">В целях налаживания диалога и долгосрочного сотрудничества, управления отношениями с заинтересованными сторонами, Фонд составляет карту заинтересованных сторон, с учетом рисков и ранжируя с учетом зависимости (прямой или косвенной), обязательств, ситуации (уделяя особое внимание зонам повышенного риска), влияния и различных перспектив. </w:t>
      </w:r>
    </w:p>
    <w:p w14:paraId="056DFB90" w14:textId="77777777" w:rsidR="00812EBC" w:rsidRPr="004A57BC" w:rsidRDefault="00812EBC" w:rsidP="00812EBC">
      <w:pPr>
        <w:tabs>
          <w:tab w:val="left" w:pos="567"/>
        </w:tabs>
        <w:jc w:val="both"/>
        <w:rPr>
          <w:color w:val="auto"/>
          <w:szCs w:val="28"/>
        </w:rPr>
      </w:pPr>
      <w:r w:rsidRPr="004A57BC">
        <w:rPr>
          <w:color w:val="auto"/>
          <w:szCs w:val="28"/>
        </w:rPr>
        <w:tab/>
        <w:t>Фонд обеспечивает согласованность своих экономических, экологических и социальных целей для устойчивого развития в долгосрочном периоде. Устойчивое развитие в Фонде состоит из трех составляющих: экономической, экологической и социальной.</w:t>
      </w:r>
    </w:p>
    <w:p w14:paraId="67588326" w14:textId="77777777" w:rsidR="00812EBC" w:rsidRPr="004A57BC" w:rsidRDefault="00812EBC" w:rsidP="00812EBC">
      <w:pPr>
        <w:ind w:firstLine="426"/>
        <w:jc w:val="both"/>
        <w:rPr>
          <w:color w:val="auto"/>
          <w:szCs w:val="28"/>
        </w:rPr>
      </w:pPr>
      <w:r w:rsidRPr="004A57BC">
        <w:rPr>
          <w:color w:val="auto"/>
          <w:szCs w:val="28"/>
        </w:rPr>
        <w:t xml:space="preserve">  Экономическая составляющая направляет деятельность Фонда на рентабельность его деятельности, обеспечение интересов Единственного акционера и инвесторов, повышение эффективности процессов, рост инвестиций в создании и развитии более совершенных технологий, повышение производительности труда.</w:t>
      </w:r>
    </w:p>
    <w:p w14:paraId="49AC3FB7" w14:textId="77777777" w:rsidR="00812EBC" w:rsidRPr="004A57BC" w:rsidRDefault="00812EBC" w:rsidP="00812EBC">
      <w:pPr>
        <w:ind w:firstLine="426"/>
        <w:jc w:val="both"/>
        <w:rPr>
          <w:color w:val="auto"/>
          <w:szCs w:val="28"/>
        </w:rPr>
      </w:pPr>
      <w:r w:rsidRPr="004A57BC">
        <w:rPr>
          <w:color w:val="auto"/>
          <w:szCs w:val="28"/>
        </w:rPr>
        <w:t xml:space="preserve">  Экологическая составляющая способствует минимизации воздействия на биологические и физические природные системы, оптимальное использование ограниченных ресурсов, применение экологичных, энерго- и материалосберегающих технологий.</w:t>
      </w:r>
    </w:p>
    <w:p w14:paraId="10CC2872" w14:textId="7015336F" w:rsidR="00812EBC" w:rsidRPr="004A57BC" w:rsidRDefault="00812EBC" w:rsidP="00812EBC">
      <w:pPr>
        <w:ind w:firstLine="426"/>
        <w:jc w:val="both"/>
      </w:pPr>
      <w:r w:rsidRPr="004A57BC">
        <w:rPr>
          <w:color w:val="auto"/>
          <w:szCs w:val="28"/>
        </w:rPr>
        <w:t>Социальная составляющая ориентирована на принципы социальной ответственности, которые в числе прочего включают обеспечение безопасности труда и сохранение здоровья работников, справедливое вознаграждение и соблюдение прав работников, индивидуальное развитие персонала, реализацию социальных программ для персонала, создание новых рабочих мест, спонсорство и благотворительность, проведение экологических и образовательных акций.</w:t>
      </w:r>
    </w:p>
    <w:p w14:paraId="5E9B46B0" w14:textId="1FF18D73" w:rsidR="00014C1A" w:rsidRDefault="00003B0B">
      <w:pPr>
        <w:ind w:firstLine="426"/>
        <w:jc w:val="both"/>
      </w:pPr>
      <w:r w:rsidRPr="004A57BC">
        <w:t>Результаты данной работы</w:t>
      </w:r>
      <w:r>
        <w:t xml:space="preserve"> Фонда будут измеряться следующими КПД: </w:t>
      </w:r>
    </w:p>
    <w:p w14:paraId="05F3AFB9" w14:textId="5EB1E1C9" w:rsidR="00014C1A" w:rsidRDefault="00003B0B">
      <w:pPr>
        <w:ind w:firstLine="426"/>
        <w:jc w:val="both"/>
      </w:pPr>
      <w:r>
        <w:t xml:space="preserve">- Оценка доверия и удовлетворенности субъектов ММСП деятельностью АО «Фонд развития предпринимательства «Даму», на протяжении всей реализации Стратегии составит </w:t>
      </w:r>
      <w:r w:rsidR="001C3111">
        <w:t xml:space="preserve">не менее </w:t>
      </w:r>
      <w:r>
        <w:t>80%.</w:t>
      </w:r>
    </w:p>
    <w:p w14:paraId="1EA20B88" w14:textId="58F740B6" w:rsidR="00014C1A" w:rsidRDefault="00003B0B">
      <w:pPr>
        <w:ind w:firstLine="426"/>
        <w:jc w:val="both"/>
      </w:pPr>
      <w:r>
        <w:t>  </w:t>
      </w:r>
    </w:p>
    <w:p w14:paraId="49A1300E" w14:textId="77777777" w:rsidR="00014C1A" w:rsidRDefault="00003B0B">
      <w:pPr>
        <w:jc w:val="center"/>
      </w:pPr>
      <w:bookmarkStart w:id="27" w:name="SUB400"/>
      <w:bookmarkEnd w:id="27"/>
      <w:r>
        <w:rPr>
          <w:rStyle w:val="s1"/>
        </w:rPr>
        <w:t>4. Ожидаемые результаты</w:t>
      </w:r>
    </w:p>
    <w:p w14:paraId="47BD6626" w14:textId="77777777" w:rsidR="00014C1A" w:rsidRDefault="00003B0B">
      <w:pPr>
        <w:ind w:firstLine="426"/>
        <w:jc w:val="center"/>
      </w:pPr>
      <w:r>
        <w:lastRenderedPageBreak/>
        <w:t> </w:t>
      </w:r>
    </w:p>
    <w:p w14:paraId="48048A35" w14:textId="77777777" w:rsidR="00014C1A" w:rsidRDefault="00003B0B">
      <w:pPr>
        <w:ind w:firstLine="426"/>
        <w:jc w:val="both"/>
      </w:pPr>
      <w:r>
        <w:t>В рамках каждого стратегического направления Фонд «Даму» будет проводить регулярный мониторинг достижения поставленных задач с использованием КПД.</w:t>
      </w:r>
    </w:p>
    <w:tbl>
      <w:tblPr>
        <w:tblW w:w="5000" w:type="pct"/>
        <w:tblLayout w:type="fixed"/>
        <w:tblCellMar>
          <w:left w:w="0" w:type="dxa"/>
          <w:right w:w="0" w:type="dxa"/>
        </w:tblCellMar>
        <w:tblLook w:val="04A0" w:firstRow="1" w:lastRow="0" w:firstColumn="1" w:lastColumn="0" w:noHBand="0" w:noVBand="1"/>
      </w:tblPr>
      <w:tblGrid>
        <w:gridCol w:w="456"/>
        <w:gridCol w:w="3644"/>
        <w:gridCol w:w="3969"/>
        <w:gridCol w:w="1266"/>
      </w:tblGrid>
      <w:tr w:rsidR="00942363" w:rsidRPr="00942363" w14:paraId="7D836E5C" w14:textId="77777777" w:rsidTr="006A4325">
        <w:tc>
          <w:tcPr>
            <w:tcW w:w="244"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15CCC8F" w14:textId="77777777" w:rsidR="00942363" w:rsidRPr="00311A1C" w:rsidRDefault="00942363" w:rsidP="006A4325">
            <w:pPr>
              <w:jc w:val="center"/>
            </w:pPr>
            <w:r w:rsidRPr="00311A1C">
              <w:t> </w:t>
            </w:r>
          </w:p>
        </w:tc>
        <w:tc>
          <w:tcPr>
            <w:tcW w:w="19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2069A3" w14:textId="77777777" w:rsidR="00942363" w:rsidRPr="00311A1C" w:rsidRDefault="00942363" w:rsidP="006A4325">
            <w:pPr>
              <w:jc w:val="center"/>
            </w:pPr>
            <w:r w:rsidRPr="00311A1C">
              <w:rPr>
                <w:b/>
                <w:bCs/>
              </w:rPr>
              <w:t>Показатель</w:t>
            </w:r>
          </w:p>
        </w:tc>
        <w:tc>
          <w:tcPr>
            <w:tcW w:w="21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8143F8" w14:textId="77777777" w:rsidR="00942363" w:rsidRPr="00311A1C" w:rsidRDefault="00942363" w:rsidP="006A4325">
            <w:pPr>
              <w:jc w:val="center"/>
              <w:rPr>
                <w:b/>
                <w:lang w:val="kk-KZ"/>
              </w:rPr>
            </w:pPr>
            <w:r w:rsidRPr="00311A1C">
              <w:rPr>
                <w:b/>
                <w:lang w:val="kk-KZ"/>
              </w:rPr>
              <w:t>Методика расчета</w:t>
            </w:r>
          </w:p>
        </w:tc>
        <w:tc>
          <w:tcPr>
            <w:tcW w:w="6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194BF2" w14:textId="77777777" w:rsidR="00942363" w:rsidRPr="00311A1C" w:rsidRDefault="00942363" w:rsidP="006A4325">
            <w:pPr>
              <w:jc w:val="center"/>
            </w:pPr>
            <w:r w:rsidRPr="00311A1C">
              <w:rPr>
                <w:b/>
                <w:bCs/>
              </w:rPr>
              <w:t>2023 г.</w:t>
            </w:r>
          </w:p>
        </w:tc>
      </w:tr>
      <w:tr w:rsidR="00942363" w:rsidRPr="00942363" w14:paraId="111AD189" w14:textId="77777777" w:rsidTr="006A4325">
        <w:tc>
          <w:tcPr>
            <w:tcW w:w="5000" w:type="pct"/>
            <w:gridSpan w:val="4"/>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362DAB8B" w14:textId="77777777" w:rsidR="00942363" w:rsidRPr="00311A1C" w:rsidRDefault="00942363" w:rsidP="006A4325">
            <w:pPr>
              <w:jc w:val="center"/>
              <w:rPr>
                <w:b/>
                <w:bCs/>
              </w:rPr>
            </w:pPr>
            <w:r w:rsidRPr="00311A1C">
              <w:rPr>
                <w:b/>
                <w:bCs/>
              </w:rPr>
              <w:t>СТРАТЕГИЧЕСКОЕ НАПРАВЛЕНИЕ 1. Поддержка и развитие начинающих и действующих предпринимателей</w:t>
            </w:r>
          </w:p>
        </w:tc>
      </w:tr>
      <w:tr w:rsidR="00942363" w:rsidRPr="00942363" w14:paraId="0E096D47" w14:textId="77777777" w:rsidTr="006A4325">
        <w:tc>
          <w:tcPr>
            <w:tcW w:w="5000" w:type="pct"/>
            <w:gridSpan w:val="4"/>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4CE526AC" w14:textId="77777777" w:rsidR="00942363" w:rsidRPr="00311A1C" w:rsidRDefault="00942363" w:rsidP="006A4325">
            <w:pPr>
              <w:jc w:val="center"/>
              <w:rPr>
                <w:b/>
                <w:bCs/>
              </w:rPr>
            </w:pPr>
            <w:r w:rsidRPr="00311A1C">
              <w:rPr>
                <w:b/>
                <w:bCs/>
              </w:rPr>
              <w:t>Расширение кредитования микро-бизнеса, разработка и реализация инструментов поддержки МФО и кредитных товариществ</w:t>
            </w:r>
          </w:p>
        </w:tc>
      </w:tr>
      <w:tr w:rsidR="00942363" w:rsidRPr="00942363" w14:paraId="62EE6327" w14:textId="77777777" w:rsidTr="006A4325">
        <w:tc>
          <w:tcPr>
            <w:tcW w:w="24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AB1F9A3" w14:textId="77777777" w:rsidR="00942363" w:rsidRPr="00311A1C" w:rsidRDefault="00942363" w:rsidP="006A4325">
            <w:pPr>
              <w:jc w:val="center"/>
              <w:rPr>
                <w:b/>
                <w:bCs/>
              </w:rPr>
            </w:pPr>
            <w:r w:rsidRPr="00311A1C">
              <w:rPr>
                <w:b/>
                <w:bCs/>
              </w:rPr>
              <w:t>1</w:t>
            </w:r>
          </w:p>
        </w:tc>
        <w:tc>
          <w:tcPr>
            <w:tcW w:w="1952" w:type="pct"/>
            <w:tcBorders>
              <w:top w:val="nil"/>
              <w:left w:val="nil"/>
              <w:bottom w:val="single" w:sz="8" w:space="0" w:color="auto"/>
              <w:right w:val="single" w:sz="8" w:space="0" w:color="auto"/>
            </w:tcBorders>
            <w:tcMar>
              <w:top w:w="0" w:type="dxa"/>
              <w:left w:w="108" w:type="dxa"/>
              <w:bottom w:w="0" w:type="dxa"/>
              <w:right w:w="108" w:type="dxa"/>
            </w:tcMar>
          </w:tcPr>
          <w:p w14:paraId="38C2A893" w14:textId="77777777" w:rsidR="00942363" w:rsidRPr="00311A1C" w:rsidRDefault="00942363" w:rsidP="006A4325">
            <w:pPr>
              <w:jc w:val="both"/>
            </w:pPr>
            <w:r w:rsidRPr="00311A1C">
              <w:t>Доля обусловленного размещения средств Микрофинансовым организациям и Лизинговым компаниям, %</w:t>
            </w:r>
          </w:p>
        </w:tc>
        <w:tc>
          <w:tcPr>
            <w:tcW w:w="2126" w:type="pct"/>
            <w:tcBorders>
              <w:top w:val="nil"/>
              <w:left w:val="nil"/>
              <w:bottom w:val="single" w:sz="8" w:space="0" w:color="auto"/>
              <w:right w:val="single" w:sz="8" w:space="0" w:color="auto"/>
            </w:tcBorders>
            <w:tcMar>
              <w:top w:w="0" w:type="dxa"/>
              <w:left w:w="108" w:type="dxa"/>
              <w:bottom w:w="0" w:type="dxa"/>
              <w:right w:w="108" w:type="dxa"/>
            </w:tcMar>
          </w:tcPr>
          <w:p w14:paraId="1EC9D863" w14:textId="2824B237" w:rsidR="00942363" w:rsidRPr="00311A1C" w:rsidRDefault="00942363" w:rsidP="006A4325">
            <w:pPr>
              <w:jc w:val="center"/>
            </w:pPr>
            <w:r w:rsidRPr="00311A1C">
              <w:t>Сумма выданных кредитов Микрофинансовым организациям и Лизинговым компаниям за отчетный период / Общая сумма выданных кредитов за отчетный период</w:t>
            </w:r>
            <w:r w:rsidR="00FE508C">
              <w:t xml:space="preserve"> х100</w:t>
            </w:r>
          </w:p>
        </w:tc>
        <w:tc>
          <w:tcPr>
            <w:tcW w:w="678" w:type="pct"/>
            <w:tcBorders>
              <w:top w:val="nil"/>
              <w:left w:val="nil"/>
              <w:bottom w:val="single" w:sz="8" w:space="0" w:color="auto"/>
              <w:right w:val="single" w:sz="8" w:space="0" w:color="auto"/>
            </w:tcBorders>
            <w:tcMar>
              <w:top w:w="0" w:type="dxa"/>
              <w:left w:w="108" w:type="dxa"/>
              <w:bottom w:w="0" w:type="dxa"/>
              <w:right w:w="108" w:type="dxa"/>
            </w:tcMar>
          </w:tcPr>
          <w:p w14:paraId="407EFE4B" w14:textId="77777777" w:rsidR="00942363" w:rsidRPr="00311A1C" w:rsidRDefault="00942363" w:rsidP="006A4325">
            <w:pPr>
              <w:jc w:val="center"/>
            </w:pPr>
            <w:r w:rsidRPr="00311A1C">
              <w:t>55</w:t>
            </w:r>
          </w:p>
        </w:tc>
      </w:tr>
      <w:tr w:rsidR="00942363" w:rsidRPr="00942363" w14:paraId="20404994" w14:textId="77777777" w:rsidTr="006A4325">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EBC30" w14:textId="77777777" w:rsidR="00942363" w:rsidRPr="00311A1C" w:rsidRDefault="00942363" w:rsidP="006A4325">
            <w:pPr>
              <w:jc w:val="center"/>
            </w:pPr>
            <w:r w:rsidRPr="00311A1C">
              <w:rPr>
                <w:b/>
                <w:bCs/>
              </w:rPr>
              <w:t>2</w:t>
            </w:r>
          </w:p>
        </w:tc>
        <w:tc>
          <w:tcPr>
            <w:tcW w:w="1952" w:type="pct"/>
            <w:tcBorders>
              <w:top w:val="nil"/>
              <w:left w:val="nil"/>
              <w:bottom w:val="single" w:sz="8" w:space="0" w:color="auto"/>
              <w:right w:val="single" w:sz="8" w:space="0" w:color="auto"/>
            </w:tcBorders>
            <w:tcMar>
              <w:top w:w="0" w:type="dxa"/>
              <w:left w:w="108" w:type="dxa"/>
              <w:bottom w:w="0" w:type="dxa"/>
              <w:right w:w="108" w:type="dxa"/>
            </w:tcMar>
            <w:hideMark/>
          </w:tcPr>
          <w:p w14:paraId="4366624B" w14:textId="77777777" w:rsidR="00942363" w:rsidRPr="00311A1C" w:rsidRDefault="00942363" w:rsidP="006A4325">
            <w:r w:rsidRPr="00311A1C">
              <w:t>Доля микро и малых предпринимателей от общего числа поддержанных предпринимателей, %</w:t>
            </w:r>
          </w:p>
        </w:tc>
        <w:tc>
          <w:tcPr>
            <w:tcW w:w="2126" w:type="pct"/>
            <w:tcBorders>
              <w:top w:val="nil"/>
              <w:left w:val="nil"/>
              <w:bottom w:val="single" w:sz="8" w:space="0" w:color="auto"/>
              <w:right w:val="single" w:sz="8" w:space="0" w:color="auto"/>
            </w:tcBorders>
            <w:tcMar>
              <w:top w:w="0" w:type="dxa"/>
              <w:left w:w="108" w:type="dxa"/>
              <w:bottom w:w="0" w:type="dxa"/>
              <w:right w:w="108" w:type="dxa"/>
            </w:tcMar>
          </w:tcPr>
          <w:p w14:paraId="49D59D9A" w14:textId="77777777" w:rsidR="00942363" w:rsidRPr="00311A1C" w:rsidRDefault="00942363" w:rsidP="006A4325">
            <w:pPr>
              <w:jc w:val="center"/>
            </w:pPr>
            <w:r w:rsidRPr="00311A1C">
              <w:t>Количество проектов микро-малых предпринимателей, поддержанных финансовыми программами Фонда/ Общее количество проектов предпринимателей, поддержанных финансовыми программами Фонда х 100</w:t>
            </w: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14:paraId="230C0C4A" w14:textId="77777777" w:rsidR="00942363" w:rsidRPr="00311A1C" w:rsidRDefault="00942363" w:rsidP="006A4325">
            <w:pPr>
              <w:jc w:val="center"/>
            </w:pPr>
            <w:r w:rsidRPr="00311A1C">
              <w:t>87,8</w:t>
            </w:r>
          </w:p>
        </w:tc>
      </w:tr>
      <w:tr w:rsidR="00942363" w:rsidRPr="00942363" w14:paraId="646EFFB8" w14:textId="77777777" w:rsidTr="006A4325">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5D536C4F" w14:textId="77777777" w:rsidR="00942363" w:rsidRPr="00311A1C" w:rsidRDefault="00942363" w:rsidP="006A4325">
            <w:pPr>
              <w:jc w:val="center"/>
            </w:pPr>
            <w:r w:rsidRPr="00311A1C">
              <w:rPr>
                <w:b/>
                <w:bCs/>
              </w:rPr>
              <w:t>Увеличение доли охвата действующих ММСП финансовыми программами Фонда</w:t>
            </w:r>
          </w:p>
        </w:tc>
      </w:tr>
      <w:tr w:rsidR="00942363" w:rsidRPr="00942363" w14:paraId="03D130D1" w14:textId="77777777" w:rsidTr="006A4325">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51AB3" w14:textId="77777777" w:rsidR="00942363" w:rsidRPr="00311A1C" w:rsidRDefault="00942363" w:rsidP="006A4325">
            <w:pPr>
              <w:jc w:val="center"/>
            </w:pPr>
            <w:r w:rsidRPr="00311A1C">
              <w:rPr>
                <w:b/>
                <w:bCs/>
              </w:rPr>
              <w:t>3</w:t>
            </w:r>
          </w:p>
        </w:tc>
        <w:tc>
          <w:tcPr>
            <w:tcW w:w="1952" w:type="pct"/>
            <w:tcBorders>
              <w:top w:val="nil"/>
              <w:left w:val="nil"/>
              <w:bottom w:val="single" w:sz="8" w:space="0" w:color="auto"/>
              <w:right w:val="single" w:sz="8" w:space="0" w:color="auto"/>
            </w:tcBorders>
            <w:tcMar>
              <w:top w:w="0" w:type="dxa"/>
              <w:left w:w="108" w:type="dxa"/>
              <w:bottom w:w="0" w:type="dxa"/>
              <w:right w:w="108" w:type="dxa"/>
            </w:tcMar>
            <w:hideMark/>
          </w:tcPr>
          <w:p w14:paraId="08EE0B3D" w14:textId="77777777" w:rsidR="00942363" w:rsidRPr="00311A1C" w:rsidRDefault="00942363" w:rsidP="006A4325">
            <w:r w:rsidRPr="00311A1C">
              <w:t>Доля субъектов ММСП, которым оказана финансовая поддержка к общему числу действующих субъектов ММСП на рынке, %</w:t>
            </w:r>
          </w:p>
        </w:tc>
        <w:tc>
          <w:tcPr>
            <w:tcW w:w="2126" w:type="pct"/>
            <w:tcBorders>
              <w:top w:val="nil"/>
              <w:left w:val="nil"/>
              <w:bottom w:val="single" w:sz="8" w:space="0" w:color="auto"/>
              <w:right w:val="single" w:sz="8" w:space="0" w:color="auto"/>
            </w:tcBorders>
            <w:tcMar>
              <w:top w:w="0" w:type="dxa"/>
              <w:left w:w="108" w:type="dxa"/>
              <w:bottom w:w="0" w:type="dxa"/>
              <w:right w:w="108" w:type="dxa"/>
            </w:tcMar>
          </w:tcPr>
          <w:p w14:paraId="2F31DE34" w14:textId="77777777" w:rsidR="00942363" w:rsidRPr="00311A1C" w:rsidRDefault="00942363" w:rsidP="006A4325">
            <w:pPr>
              <w:jc w:val="center"/>
            </w:pPr>
            <w:r w:rsidRPr="00311A1C">
              <w:t>Количество поддержанных субъектов ММСП по финансовым программам Фонда / Количество действующих субъектов ММСП на рынке х 100</w:t>
            </w: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14:paraId="27264FD4" w14:textId="77777777" w:rsidR="00942363" w:rsidRPr="00311A1C" w:rsidRDefault="00942363" w:rsidP="006A4325">
            <w:pPr>
              <w:jc w:val="center"/>
            </w:pPr>
            <w:r w:rsidRPr="00311A1C">
              <w:t>11,9</w:t>
            </w:r>
          </w:p>
        </w:tc>
      </w:tr>
      <w:tr w:rsidR="00942363" w:rsidRPr="00942363" w14:paraId="23F24F2A" w14:textId="77777777" w:rsidTr="006A4325">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A6944" w14:textId="77777777" w:rsidR="00942363" w:rsidRPr="00311A1C" w:rsidRDefault="00942363" w:rsidP="006A4325">
            <w:pPr>
              <w:jc w:val="center"/>
            </w:pPr>
            <w:r w:rsidRPr="00311A1C">
              <w:rPr>
                <w:b/>
                <w:bCs/>
              </w:rPr>
              <w:t>4</w:t>
            </w:r>
          </w:p>
        </w:tc>
        <w:tc>
          <w:tcPr>
            <w:tcW w:w="1952" w:type="pct"/>
            <w:tcBorders>
              <w:top w:val="nil"/>
              <w:left w:val="nil"/>
              <w:bottom w:val="single" w:sz="8" w:space="0" w:color="auto"/>
              <w:right w:val="single" w:sz="8" w:space="0" w:color="auto"/>
            </w:tcBorders>
            <w:tcMar>
              <w:top w:w="0" w:type="dxa"/>
              <w:left w:w="108" w:type="dxa"/>
              <w:bottom w:w="0" w:type="dxa"/>
              <w:right w:w="108" w:type="dxa"/>
            </w:tcMar>
            <w:hideMark/>
          </w:tcPr>
          <w:p w14:paraId="40B5170A" w14:textId="77777777" w:rsidR="00942363" w:rsidRPr="00311A1C" w:rsidRDefault="00942363" w:rsidP="006A4325">
            <w:r w:rsidRPr="00311A1C">
              <w:t>Количество новых проектов и проектов по модернизации и расширению действующих производств с учетом увеличения производительности труда и расширения рынков сбыта (на конец года), ед.</w:t>
            </w:r>
          </w:p>
        </w:tc>
        <w:tc>
          <w:tcPr>
            <w:tcW w:w="2126" w:type="pct"/>
            <w:tcBorders>
              <w:top w:val="nil"/>
              <w:left w:val="nil"/>
              <w:bottom w:val="single" w:sz="8" w:space="0" w:color="auto"/>
              <w:right w:val="single" w:sz="8" w:space="0" w:color="auto"/>
            </w:tcBorders>
            <w:tcMar>
              <w:top w:w="0" w:type="dxa"/>
              <w:left w:w="108" w:type="dxa"/>
              <w:bottom w:w="0" w:type="dxa"/>
              <w:right w:w="108" w:type="dxa"/>
            </w:tcMar>
          </w:tcPr>
          <w:p w14:paraId="7E41C374" w14:textId="77777777" w:rsidR="00942363" w:rsidRPr="00311A1C" w:rsidRDefault="00942363" w:rsidP="006A4325">
            <w:pPr>
              <w:jc w:val="center"/>
            </w:pPr>
            <w:r w:rsidRPr="00311A1C">
              <w:t>Количество новых проектов и проектов по модернизации и расширению действующих производств с учетом увеличения производительности труда и расширения рынков сбыта</w:t>
            </w: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14:paraId="3BF43DC4" w14:textId="77777777" w:rsidR="00942363" w:rsidRPr="00311A1C" w:rsidRDefault="00942363" w:rsidP="006A4325">
            <w:pPr>
              <w:jc w:val="center"/>
            </w:pPr>
            <w:r w:rsidRPr="00311A1C">
              <w:t>190 225</w:t>
            </w:r>
          </w:p>
        </w:tc>
      </w:tr>
      <w:tr w:rsidR="00942363" w:rsidRPr="00942363" w14:paraId="4E90F0D7" w14:textId="77777777" w:rsidTr="006A4325">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3B243" w14:textId="77777777" w:rsidR="00942363" w:rsidRPr="00311A1C" w:rsidRDefault="00942363" w:rsidP="006A4325">
            <w:pPr>
              <w:jc w:val="center"/>
            </w:pPr>
            <w:r w:rsidRPr="00311A1C">
              <w:t>5</w:t>
            </w:r>
          </w:p>
        </w:tc>
        <w:tc>
          <w:tcPr>
            <w:tcW w:w="1952" w:type="pct"/>
            <w:tcBorders>
              <w:top w:val="nil"/>
              <w:left w:val="nil"/>
              <w:bottom w:val="single" w:sz="8" w:space="0" w:color="auto"/>
              <w:right w:val="single" w:sz="8" w:space="0" w:color="auto"/>
            </w:tcBorders>
            <w:tcMar>
              <w:top w:w="0" w:type="dxa"/>
              <w:left w:w="108" w:type="dxa"/>
              <w:bottom w:w="0" w:type="dxa"/>
              <w:right w:w="108" w:type="dxa"/>
            </w:tcMar>
            <w:hideMark/>
          </w:tcPr>
          <w:p w14:paraId="516A6A10" w14:textId="77777777" w:rsidR="00942363" w:rsidRPr="00311A1C" w:rsidRDefault="00942363" w:rsidP="006A4325">
            <w:r w:rsidRPr="00311A1C">
              <w:t>Доля частного сектора в кредитном портфеле Фонда, %</w:t>
            </w:r>
          </w:p>
        </w:tc>
        <w:tc>
          <w:tcPr>
            <w:tcW w:w="2126" w:type="pct"/>
            <w:tcBorders>
              <w:top w:val="nil"/>
              <w:left w:val="nil"/>
              <w:bottom w:val="single" w:sz="8" w:space="0" w:color="auto"/>
              <w:right w:val="single" w:sz="8" w:space="0" w:color="auto"/>
            </w:tcBorders>
            <w:tcMar>
              <w:top w:w="0" w:type="dxa"/>
              <w:left w:w="108" w:type="dxa"/>
              <w:bottom w:w="0" w:type="dxa"/>
              <w:right w:w="108" w:type="dxa"/>
            </w:tcMar>
          </w:tcPr>
          <w:p w14:paraId="7A73CAB7" w14:textId="77777777" w:rsidR="00942363" w:rsidRPr="00311A1C" w:rsidRDefault="00942363" w:rsidP="006A4325">
            <w:pPr>
              <w:jc w:val="center"/>
              <w:rPr>
                <w:lang w:val="kk-KZ"/>
              </w:rPr>
            </w:pPr>
            <w:r w:rsidRPr="00311A1C">
              <w:t>Сумма кредитов (нетто), выданных частному сектору* на конец отчетного периода / Всего сумма кредитов (нетто), выданных на конец отчетного периода</w:t>
            </w:r>
            <w:r w:rsidRPr="00311A1C" w:rsidDel="00E53558">
              <w:t xml:space="preserve"> </w:t>
            </w:r>
            <w:r w:rsidRPr="00311A1C">
              <w:t>(по выданным Программами обусловленного размещения средств)</w:t>
            </w:r>
            <w:r w:rsidRPr="00311A1C">
              <w:rPr>
                <w:lang w:val="kk-KZ"/>
              </w:rPr>
              <w:t xml:space="preserve"> х100</w:t>
            </w: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14:paraId="4734C5B1" w14:textId="77777777" w:rsidR="00942363" w:rsidRPr="00311A1C" w:rsidRDefault="00942363" w:rsidP="006A4325">
            <w:pPr>
              <w:jc w:val="center"/>
            </w:pPr>
            <w:r w:rsidRPr="00311A1C">
              <w:t>95</w:t>
            </w:r>
          </w:p>
        </w:tc>
      </w:tr>
      <w:tr w:rsidR="00942363" w:rsidRPr="00942363" w14:paraId="738097C7" w14:textId="77777777" w:rsidTr="006A4325">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44445" w14:textId="77777777" w:rsidR="00942363" w:rsidRPr="00311A1C" w:rsidRDefault="00942363" w:rsidP="006A4325">
            <w:pPr>
              <w:jc w:val="center"/>
            </w:pPr>
            <w:r w:rsidRPr="00311A1C">
              <w:rPr>
                <w:b/>
                <w:bCs/>
              </w:rPr>
              <w:t>6</w:t>
            </w:r>
          </w:p>
        </w:tc>
        <w:tc>
          <w:tcPr>
            <w:tcW w:w="1952" w:type="pct"/>
            <w:tcBorders>
              <w:top w:val="nil"/>
              <w:left w:val="nil"/>
              <w:bottom w:val="single" w:sz="8" w:space="0" w:color="auto"/>
              <w:right w:val="single" w:sz="8" w:space="0" w:color="auto"/>
            </w:tcBorders>
            <w:tcMar>
              <w:top w:w="0" w:type="dxa"/>
              <w:left w:w="108" w:type="dxa"/>
              <w:bottom w:w="0" w:type="dxa"/>
              <w:right w:w="108" w:type="dxa"/>
            </w:tcMar>
            <w:hideMark/>
          </w:tcPr>
          <w:p w14:paraId="6C6BCE93" w14:textId="77777777" w:rsidR="00942363" w:rsidRPr="00311A1C" w:rsidRDefault="00942363" w:rsidP="006A4325">
            <w:r w:rsidRPr="00311A1C">
              <w:t>Объем выручки предприятий, получивших поддержку Фонда (за год), млрд тенге</w:t>
            </w:r>
          </w:p>
        </w:tc>
        <w:tc>
          <w:tcPr>
            <w:tcW w:w="2126" w:type="pct"/>
            <w:tcBorders>
              <w:top w:val="nil"/>
              <w:left w:val="nil"/>
              <w:bottom w:val="single" w:sz="8" w:space="0" w:color="auto"/>
              <w:right w:val="single" w:sz="8" w:space="0" w:color="auto"/>
            </w:tcBorders>
            <w:tcMar>
              <w:top w:w="0" w:type="dxa"/>
              <w:left w:w="108" w:type="dxa"/>
              <w:bottom w:w="0" w:type="dxa"/>
              <w:right w:w="108" w:type="dxa"/>
            </w:tcMar>
          </w:tcPr>
          <w:p w14:paraId="7EE0D07D" w14:textId="77777777" w:rsidR="00942363" w:rsidRPr="00311A1C" w:rsidRDefault="00942363" w:rsidP="006A4325">
            <w:pPr>
              <w:jc w:val="center"/>
            </w:pPr>
            <w:r w:rsidRPr="00311A1C">
              <w:t>Сумма совокупной выручки предприятий за отчетный год, получившие поддержку Фонда</w:t>
            </w: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14:paraId="11AB4B9E" w14:textId="77777777" w:rsidR="00942363" w:rsidRPr="00311A1C" w:rsidRDefault="00942363" w:rsidP="006A4325">
            <w:pPr>
              <w:jc w:val="center"/>
            </w:pPr>
            <w:r w:rsidRPr="00311A1C">
              <w:t>6 500</w:t>
            </w:r>
          </w:p>
        </w:tc>
      </w:tr>
      <w:tr w:rsidR="00942363" w:rsidRPr="00942363" w14:paraId="1E45C7B6" w14:textId="77777777" w:rsidTr="006A4325">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274BB404" w14:textId="77777777" w:rsidR="00942363" w:rsidRPr="00311A1C" w:rsidRDefault="00942363" w:rsidP="006A4325">
            <w:pPr>
              <w:jc w:val="center"/>
            </w:pPr>
            <w:r w:rsidRPr="00311A1C">
              <w:rPr>
                <w:b/>
                <w:bCs/>
              </w:rPr>
              <w:t>Обеспечение повышения экономической эффективности поддерживаемых предприятий ММСП</w:t>
            </w:r>
          </w:p>
        </w:tc>
      </w:tr>
      <w:tr w:rsidR="00942363" w:rsidRPr="00942363" w14:paraId="294966CA" w14:textId="77777777" w:rsidTr="006A4325">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B44D1" w14:textId="77777777" w:rsidR="00942363" w:rsidRPr="00311A1C" w:rsidRDefault="00942363" w:rsidP="006A4325">
            <w:pPr>
              <w:jc w:val="center"/>
            </w:pPr>
            <w:r w:rsidRPr="00311A1C">
              <w:rPr>
                <w:b/>
                <w:bCs/>
              </w:rPr>
              <w:t>7</w:t>
            </w:r>
          </w:p>
        </w:tc>
        <w:tc>
          <w:tcPr>
            <w:tcW w:w="1952" w:type="pct"/>
            <w:tcBorders>
              <w:top w:val="nil"/>
              <w:left w:val="nil"/>
              <w:bottom w:val="single" w:sz="8" w:space="0" w:color="auto"/>
              <w:right w:val="single" w:sz="8" w:space="0" w:color="auto"/>
            </w:tcBorders>
            <w:tcMar>
              <w:top w:w="0" w:type="dxa"/>
              <w:left w:w="108" w:type="dxa"/>
              <w:bottom w:w="0" w:type="dxa"/>
              <w:right w:w="108" w:type="dxa"/>
            </w:tcMar>
            <w:hideMark/>
          </w:tcPr>
          <w:p w14:paraId="295BEC81" w14:textId="77777777" w:rsidR="00942363" w:rsidRPr="00311A1C" w:rsidRDefault="00942363" w:rsidP="006A4325">
            <w:r w:rsidRPr="00311A1C">
              <w:t xml:space="preserve">Прирост выплаченных налогов субъектами предпринимательства, </w:t>
            </w:r>
            <w:r w:rsidRPr="00311A1C">
              <w:lastRenderedPageBreak/>
              <w:t>получившими поддержку Фонда, млрд тенге</w:t>
            </w:r>
          </w:p>
        </w:tc>
        <w:tc>
          <w:tcPr>
            <w:tcW w:w="2126" w:type="pct"/>
            <w:tcBorders>
              <w:top w:val="nil"/>
              <w:left w:val="nil"/>
              <w:bottom w:val="single" w:sz="8" w:space="0" w:color="auto"/>
              <w:right w:val="single" w:sz="8" w:space="0" w:color="auto"/>
            </w:tcBorders>
            <w:tcMar>
              <w:top w:w="0" w:type="dxa"/>
              <w:left w:w="108" w:type="dxa"/>
              <w:bottom w:w="0" w:type="dxa"/>
              <w:right w:w="108" w:type="dxa"/>
            </w:tcMar>
          </w:tcPr>
          <w:p w14:paraId="468CDDF7" w14:textId="77777777" w:rsidR="00942363" w:rsidRPr="00311A1C" w:rsidRDefault="00942363" w:rsidP="006A4325">
            <w:pPr>
              <w:jc w:val="center"/>
            </w:pPr>
            <w:r w:rsidRPr="00311A1C">
              <w:lastRenderedPageBreak/>
              <w:t xml:space="preserve">Сумма налогов участников программ финансовой поддержки в отчетном году -сумма налогов </w:t>
            </w:r>
            <w:r w:rsidRPr="00311A1C">
              <w:lastRenderedPageBreak/>
              <w:t>участников программ финансовой поддержки в предшествующем году</w:t>
            </w: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14:paraId="252C230D" w14:textId="77777777" w:rsidR="00942363" w:rsidRPr="00311A1C" w:rsidRDefault="00942363" w:rsidP="006A4325">
            <w:pPr>
              <w:jc w:val="center"/>
            </w:pPr>
            <w:r w:rsidRPr="00311A1C">
              <w:lastRenderedPageBreak/>
              <w:t>20</w:t>
            </w:r>
          </w:p>
        </w:tc>
      </w:tr>
      <w:tr w:rsidR="00942363" w:rsidRPr="00942363" w14:paraId="509CFFA0" w14:textId="77777777" w:rsidTr="006A4325">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7FF92EA4" w14:textId="77777777" w:rsidR="00942363" w:rsidRPr="00311A1C" w:rsidRDefault="00942363" w:rsidP="006A4325">
            <w:pPr>
              <w:jc w:val="center"/>
              <w:rPr>
                <w:b/>
                <w:bCs/>
              </w:rPr>
            </w:pPr>
            <w:r w:rsidRPr="00311A1C">
              <w:rPr>
                <w:b/>
                <w:bCs/>
              </w:rPr>
              <w:t xml:space="preserve">СТРАТЕГИЧЕСКОЕ НАПРАВЛЕНИЕ 2. </w:t>
            </w:r>
          </w:p>
          <w:p w14:paraId="157F52ED" w14:textId="77777777" w:rsidR="00942363" w:rsidRPr="00311A1C" w:rsidRDefault="00942363" w:rsidP="006A4325">
            <w:pPr>
              <w:jc w:val="center"/>
            </w:pPr>
            <w:r w:rsidRPr="00311A1C">
              <w:rPr>
                <w:b/>
                <w:bCs/>
              </w:rPr>
              <w:t>Устойчивое институциональное развитие фонда</w:t>
            </w:r>
          </w:p>
        </w:tc>
      </w:tr>
      <w:tr w:rsidR="00942363" w:rsidRPr="00942363" w14:paraId="63CA8F22" w14:textId="77777777" w:rsidTr="006A4325">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32077970" w14:textId="77777777" w:rsidR="00942363" w:rsidRPr="00311A1C" w:rsidRDefault="00942363" w:rsidP="006A4325">
            <w:pPr>
              <w:jc w:val="center"/>
            </w:pPr>
            <w:r w:rsidRPr="00311A1C">
              <w:rPr>
                <w:b/>
                <w:bCs/>
              </w:rPr>
              <w:t>Привлечение дополнительных источников финансирования</w:t>
            </w:r>
          </w:p>
        </w:tc>
      </w:tr>
      <w:tr w:rsidR="00942363" w:rsidRPr="00942363" w14:paraId="0D7C855C" w14:textId="77777777" w:rsidTr="006A4325">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1F632" w14:textId="77777777" w:rsidR="00942363" w:rsidRPr="00311A1C" w:rsidRDefault="00942363" w:rsidP="006A4325">
            <w:pPr>
              <w:jc w:val="center"/>
            </w:pPr>
            <w:r w:rsidRPr="00311A1C">
              <w:rPr>
                <w:b/>
                <w:bCs/>
              </w:rPr>
              <w:t>8</w:t>
            </w:r>
          </w:p>
        </w:tc>
        <w:tc>
          <w:tcPr>
            <w:tcW w:w="1952" w:type="pct"/>
            <w:tcBorders>
              <w:top w:val="nil"/>
              <w:left w:val="nil"/>
              <w:bottom w:val="single" w:sz="8" w:space="0" w:color="auto"/>
              <w:right w:val="single" w:sz="8" w:space="0" w:color="auto"/>
            </w:tcBorders>
            <w:tcMar>
              <w:top w:w="0" w:type="dxa"/>
              <w:left w:w="108" w:type="dxa"/>
              <w:bottom w:w="0" w:type="dxa"/>
              <w:right w:w="108" w:type="dxa"/>
            </w:tcMar>
            <w:hideMark/>
          </w:tcPr>
          <w:p w14:paraId="33AEDD1E" w14:textId="77777777" w:rsidR="00942363" w:rsidRPr="00311A1C" w:rsidRDefault="00942363" w:rsidP="006A4325">
            <w:r w:rsidRPr="00311A1C">
              <w:t>Доля негосударственных источников заимствования в общей структуре заимствования за отчетный год, %</w:t>
            </w:r>
          </w:p>
        </w:tc>
        <w:tc>
          <w:tcPr>
            <w:tcW w:w="2126" w:type="pct"/>
            <w:tcBorders>
              <w:top w:val="nil"/>
              <w:left w:val="nil"/>
              <w:bottom w:val="single" w:sz="8" w:space="0" w:color="auto"/>
              <w:right w:val="single" w:sz="8" w:space="0" w:color="auto"/>
            </w:tcBorders>
            <w:tcMar>
              <w:top w:w="0" w:type="dxa"/>
              <w:left w:w="108" w:type="dxa"/>
              <w:bottom w:w="0" w:type="dxa"/>
              <w:right w:w="108" w:type="dxa"/>
            </w:tcMar>
          </w:tcPr>
          <w:p w14:paraId="5665929A" w14:textId="77777777" w:rsidR="00942363" w:rsidRPr="00311A1C" w:rsidRDefault="00942363" w:rsidP="006A4325">
            <w:pPr>
              <w:jc w:val="center"/>
              <w:rPr>
                <w:lang w:val="kk-KZ"/>
              </w:rPr>
            </w:pPr>
            <w:r w:rsidRPr="00311A1C">
              <w:t>Привлеченные средства на финансирование субъектов ММСП из внебюджетных источников / Итого привлеченных средств на финансирование субъектов ММСП</w:t>
            </w:r>
            <w:r w:rsidRPr="00311A1C">
              <w:rPr>
                <w:lang w:val="kk-KZ"/>
              </w:rPr>
              <w:t xml:space="preserve"> х 100</w:t>
            </w: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14:paraId="11B5FB75" w14:textId="77777777" w:rsidR="00942363" w:rsidRPr="00311A1C" w:rsidRDefault="00942363" w:rsidP="006A4325">
            <w:pPr>
              <w:jc w:val="center"/>
            </w:pPr>
            <w:r w:rsidRPr="00311A1C">
              <w:t>20,0</w:t>
            </w:r>
          </w:p>
        </w:tc>
      </w:tr>
      <w:tr w:rsidR="00942363" w:rsidRPr="00942363" w14:paraId="2497BC56" w14:textId="77777777" w:rsidTr="006A4325">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4C354" w14:textId="77777777" w:rsidR="00942363" w:rsidRPr="00311A1C" w:rsidRDefault="00942363" w:rsidP="006A4325">
            <w:pPr>
              <w:jc w:val="center"/>
            </w:pPr>
            <w:r w:rsidRPr="00311A1C">
              <w:rPr>
                <w:b/>
                <w:bCs/>
              </w:rPr>
              <w:t>9</w:t>
            </w:r>
          </w:p>
        </w:tc>
        <w:tc>
          <w:tcPr>
            <w:tcW w:w="1952" w:type="pct"/>
            <w:tcBorders>
              <w:top w:val="nil"/>
              <w:left w:val="nil"/>
              <w:bottom w:val="single" w:sz="8" w:space="0" w:color="auto"/>
              <w:right w:val="single" w:sz="8" w:space="0" w:color="auto"/>
            </w:tcBorders>
            <w:tcMar>
              <w:top w:w="0" w:type="dxa"/>
              <w:left w:w="108" w:type="dxa"/>
              <w:bottom w:w="0" w:type="dxa"/>
              <w:right w:w="108" w:type="dxa"/>
            </w:tcMar>
            <w:hideMark/>
          </w:tcPr>
          <w:p w14:paraId="20967477" w14:textId="77777777" w:rsidR="00942363" w:rsidRPr="00311A1C" w:rsidRDefault="00942363" w:rsidP="006A4325">
            <w:r w:rsidRPr="00311A1C">
              <w:t>Долг/Капитал</w:t>
            </w:r>
          </w:p>
        </w:tc>
        <w:tc>
          <w:tcPr>
            <w:tcW w:w="2126" w:type="pct"/>
            <w:tcBorders>
              <w:top w:val="nil"/>
              <w:left w:val="nil"/>
              <w:bottom w:val="single" w:sz="8" w:space="0" w:color="auto"/>
              <w:right w:val="single" w:sz="8" w:space="0" w:color="auto"/>
            </w:tcBorders>
            <w:tcMar>
              <w:top w:w="0" w:type="dxa"/>
              <w:left w:w="108" w:type="dxa"/>
              <w:bottom w:w="0" w:type="dxa"/>
              <w:right w:w="108" w:type="dxa"/>
            </w:tcMar>
          </w:tcPr>
          <w:p w14:paraId="46FEB1F3" w14:textId="77777777" w:rsidR="00942363" w:rsidRPr="00311A1C" w:rsidRDefault="00942363" w:rsidP="006A4325">
            <w:pPr>
              <w:jc w:val="center"/>
            </w:pPr>
            <w:r w:rsidRPr="00311A1C">
              <w:t>Обязательства по балансовой стоимости / Капитал</w:t>
            </w: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14:paraId="33FDA460" w14:textId="77777777" w:rsidR="00942363" w:rsidRPr="00311A1C" w:rsidRDefault="00942363" w:rsidP="006A4325">
            <w:pPr>
              <w:jc w:val="center"/>
            </w:pPr>
            <w:r w:rsidRPr="00311A1C">
              <w:t>5</w:t>
            </w:r>
          </w:p>
        </w:tc>
      </w:tr>
      <w:tr w:rsidR="00942363" w:rsidRPr="00942363" w14:paraId="46D7054C" w14:textId="77777777" w:rsidTr="006A4325">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6C20F154" w14:textId="77777777" w:rsidR="00942363" w:rsidRPr="00311A1C" w:rsidRDefault="00942363" w:rsidP="006A4325">
            <w:pPr>
              <w:jc w:val="center"/>
            </w:pPr>
            <w:r w:rsidRPr="00311A1C">
              <w:rPr>
                <w:b/>
                <w:bCs/>
              </w:rPr>
              <w:t>Достижение запланированного уровня финансовых результатов деятельности</w:t>
            </w:r>
          </w:p>
        </w:tc>
      </w:tr>
      <w:tr w:rsidR="00942363" w:rsidRPr="00942363" w14:paraId="2445E1B4" w14:textId="77777777" w:rsidTr="006A4325">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31019" w14:textId="77777777" w:rsidR="00942363" w:rsidRPr="00311A1C" w:rsidRDefault="00942363" w:rsidP="006A4325">
            <w:pPr>
              <w:jc w:val="center"/>
            </w:pPr>
            <w:r w:rsidRPr="00311A1C">
              <w:rPr>
                <w:b/>
                <w:bCs/>
              </w:rPr>
              <w:t>10</w:t>
            </w:r>
          </w:p>
        </w:tc>
        <w:tc>
          <w:tcPr>
            <w:tcW w:w="1952" w:type="pct"/>
            <w:tcBorders>
              <w:top w:val="nil"/>
              <w:left w:val="nil"/>
              <w:bottom w:val="single" w:sz="8" w:space="0" w:color="auto"/>
              <w:right w:val="single" w:sz="8" w:space="0" w:color="auto"/>
            </w:tcBorders>
            <w:tcMar>
              <w:top w:w="0" w:type="dxa"/>
              <w:left w:w="108" w:type="dxa"/>
              <w:bottom w:w="0" w:type="dxa"/>
              <w:right w:w="108" w:type="dxa"/>
            </w:tcMar>
            <w:hideMark/>
          </w:tcPr>
          <w:p w14:paraId="24BD609B" w14:textId="77777777" w:rsidR="00942363" w:rsidRPr="00311A1C" w:rsidRDefault="00942363" w:rsidP="006A4325">
            <w:r w:rsidRPr="00311A1C">
              <w:rPr>
                <w:lang w:val="en-US"/>
              </w:rPr>
              <w:t>ROA</w:t>
            </w:r>
            <w:r w:rsidRPr="00311A1C">
              <w:t>, %</w:t>
            </w:r>
          </w:p>
        </w:tc>
        <w:tc>
          <w:tcPr>
            <w:tcW w:w="2126" w:type="pct"/>
            <w:tcBorders>
              <w:top w:val="nil"/>
              <w:left w:val="nil"/>
              <w:bottom w:val="single" w:sz="8" w:space="0" w:color="auto"/>
              <w:right w:val="single" w:sz="8" w:space="0" w:color="auto"/>
            </w:tcBorders>
            <w:tcMar>
              <w:top w:w="0" w:type="dxa"/>
              <w:left w:w="108" w:type="dxa"/>
              <w:bottom w:w="0" w:type="dxa"/>
              <w:right w:w="108" w:type="dxa"/>
            </w:tcMar>
          </w:tcPr>
          <w:p w14:paraId="102FE5C4" w14:textId="77777777" w:rsidR="00942363" w:rsidRPr="00311A1C" w:rsidRDefault="00942363" w:rsidP="006A4325">
            <w:pPr>
              <w:jc w:val="center"/>
            </w:pPr>
            <w:r w:rsidRPr="00311A1C">
              <w:t>Чистая прибыль за период / Средняя величина активов за период х 100</w:t>
            </w:r>
          </w:p>
        </w:tc>
        <w:tc>
          <w:tcPr>
            <w:tcW w:w="678" w:type="pct"/>
            <w:tcBorders>
              <w:top w:val="nil"/>
              <w:left w:val="nil"/>
              <w:bottom w:val="single" w:sz="8" w:space="0" w:color="auto"/>
              <w:right w:val="single" w:sz="8" w:space="0" w:color="auto"/>
            </w:tcBorders>
            <w:tcMar>
              <w:top w:w="0" w:type="dxa"/>
              <w:left w:w="108" w:type="dxa"/>
              <w:bottom w:w="0" w:type="dxa"/>
              <w:right w:w="108" w:type="dxa"/>
            </w:tcMar>
          </w:tcPr>
          <w:p w14:paraId="188E404F" w14:textId="77777777" w:rsidR="00942363" w:rsidRPr="00311A1C" w:rsidRDefault="00942363" w:rsidP="006A4325">
            <w:pPr>
              <w:jc w:val="center"/>
            </w:pPr>
            <w:r w:rsidRPr="00311A1C">
              <w:t>1</w:t>
            </w:r>
          </w:p>
        </w:tc>
      </w:tr>
      <w:tr w:rsidR="00942363" w:rsidRPr="00942363" w14:paraId="57753D49" w14:textId="77777777" w:rsidTr="006A4325">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0896A" w14:textId="77777777" w:rsidR="00942363" w:rsidRPr="00311A1C" w:rsidRDefault="00942363" w:rsidP="006A4325">
            <w:pPr>
              <w:jc w:val="center"/>
            </w:pPr>
            <w:r w:rsidRPr="00311A1C">
              <w:rPr>
                <w:b/>
                <w:bCs/>
              </w:rPr>
              <w:t>11</w:t>
            </w:r>
          </w:p>
        </w:tc>
        <w:tc>
          <w:tcPr>
            <w:tcW w:w="1952" w:type="pct"/>
            <w:tcBorders>
              <w:top w:val="nil"/>
              <w:left w:val="nil"/>
              <w:bottom w:val="single" w:sz="8" w:space="0" w:color="auto"/>
              <w:right w:val="single" w:sz="8" w:space="0" w:color="auto"/>
            </w:tcBorders>
            <w:tcMar>
              <w:top w:w="0" w:type="dxa"/>
              <w:left w:w="108" w:type="dxa"/>
              <w:bottom w:w="0" w:type="dxa"/>
              <w:right w:w="108" w:type="dxa"/>
            </w:tcMar>
            <w:hideMark/>
          </w:tcPr>
          <w:p w14:paraId="51D464E0" w14:textId="77777777" w:rsidR="00942363" w:rsidRPr="00311A1C" w:rsidRDefault="00942363" w:rsidP="006A4325">
            <w:r w:rsidRPr="00311A1C">
              <w:t>Доля кредитного портфеля от общих активов, %</w:t>
            </w:r>
          </w:p>
        </w:tc>
        <w:tc>
          <w:tcPr>
            <w:tcW w:w="2126" w:type="pct"/>
            <w:tcBorders>
              <w:top w:val="nil"/>
              <w:left w:val="nil"/>
              <w:bottom w:val="single" w:sz="8" w:space="0" w:color="auto"/>
              <w:right w:val="single" w:sz="8" w:space="0" w:color="auto"/>
            </w:tcBorders>
            <w:tcMar>
              <w:top w:w="0" w:type="dxa"/>
              <w:left w:w="108" w:type="dxa"/>
              <w:bottom w:w="0" w:type="dxa"/>
              <w:right w:w="108" w:type="dxa"/>
            </w:tcMar>
          </w:tcPr>
          <w:p w14:paraId="5C2EB625" w14:textId="77777777" w:rsidR="00942363" w:rsidRPr="00311A1C" w:rsidRDefault="00942363" w:rsidP="006A4325">
            <w:pPr>
              <w:jc w:val="center"/>
            </w:pPr>
            <w:r w:rsidRPr="00311A1C">
              <w:t>Кредитный портфель / Итого активов х 100</w:t>
            </w: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14:paraId="070EA24E" w14:textId="77777777" w:rsidR="00942363" w:rsidRPr="00311A1C" w:rsidRDefault="00942363" w:rsidP="006A4325">
            <w:pPr>
              <w:jc w:val="center"/>
            </w:pPr>
            <w:r w:rsidRPr="00311A1C">
              <w:t>30</w:t>
            </w:r>
          </w:p>
        </w:tc>
      </w:tr>
      <w:tr w:rsidR="00942363" w:rsidRPr="00942363" w14:paraId="39C7BFF4" w14:textId="77777777" w:rsidTr="006A4325">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47BD0724" w14:textId="77777777" w:rsidR="00942363" w:rsidRPr="00311A1C" w:rsidRDefault="00942363" w:rsidP="006A4325">
            <w:pPr>
              <w:jc w:val="center"/>
            </w:pPr>
            <w:r w:rsidRPr="00311A1C">
              <w:rPr>
                <w:b/>
                <w:bCs/>
              </w:rPr>
              <w:t>Автоматизация бизнес процессов</w:t>
            </w:r>
          </w:p>
        </w:tc>
      </w:tr>
      <w:tr w:rsidR="00942363" w:rsidRPr="00942363" w14:paraId="5F33B501" w14:textId="77777777" w:rsidTr="006A4325">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BBF3E" w14:textId="77777777" w:rsidR="00942363" w:rsidRPr="00311A1C" w:rsidRDefault="00942363" w:rsidP="006A4325">
            <w:pPr>
              <w:jc w:val="center"/>
            </w:pPr>
            <w:r w:rsidRPr="00311A1C">
              <w:rPr>
                <w:b/>
                <w:bCs/>
              </w:rPr>
              <w:t>12</w:t>
            </w:r>
          </w:p>
        </w:tc>
        <w:tc>
          <w:tcPr>
            <w:tcW w:w="1952" w:type="pct"/>
            <w:tcBorders>
              <w:top w:val="nil"/>
              <w:left w:val="nil"/>
              <w:bottom w:val="single" w:sz="8" w:space="0" w:color="auto"/>
              <w:right w:val="single" w:sz="8" w:space="0" w:color="auto"/>
            </w:tcBorders>
            <w:tcMar>
              <w:top w:w="0" w:type="dxa"/>
              <w:left w:w="108" w:type="dxa"/>
              <w:bottom w:w="0" w:type="dxa"/>
              <w:right w:w="108" w:type="dxa"/>
            </w:tcMar>
            <w:hideMark/>
          </w:tcPr>
          <w:p w14:paraId="268491EE" w14:textId="77777777" w:rsidR="00942363" w:rsidRPr="00311A1C" w:rsidRDefault="00942363" w:rsidP="006A4325">
            <w:r w:rsidRPr="00311A1C">
              <w:t>Автоматизация основных бизнес процессов Фонда, %</w:t>
            </w:r>
          </w:p>
        </w:tc>
        <w:tc>
          <w:tcPr>
            <w:tcW w:w="2126" w:type="pct"/>
            <w:tcBorders>
              <w:top w:val="nil"/>
              <w:left w:val="nil"/>
              <w:bottom w:val="single" w:sz="8" w:space="0" w:color="auto"/>
              <w:right w:val="single" w:sz="8" w:space="0" w:color="auto"/>
            </w:tcBorders>
            <w:tcMar>
              <w:top w:w="0" w:type="dxa"/>
              <w:left w:w="108" w:type="dxa"/>
              <w:bottom w:w="0" w:type="dxa"/>
              <w:right w:w="108" w:type="dxa"/>
            </w:tcMar>
          </w:tcPr>
          <w:p w14:paraId="46DF1A39" w14:textId="77777777" w:rsidR="00942363" w:rsidRPr="00311A1C" w:rsidRDefault="00942363" w:rsidP="006A4325">
            <w:pPr>
              <w:jc w:val="center"/>
              <w:rPr>
                <w:lang w:val="kk-KZ"/>
              </w:rPr>
            </w:pPr>
            <w:r w:rsidRPr="00311A1C">
              <w:t>Количество автоматизированных бизнес процессов Фонда / Общее количество бизнес процесс Фонда</w:t>
            </w:r>
            <w:r w:rsidRPr="00311A1C">
              <w:rPr>
                <w:lang w:val="kk-KZ"/>
              </w:rPr>
              <w:t xml:space="preserve"> х 100</w:t>
            </w: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14:paraId="77FDD079" w14:textId="77777777" w:rsidR="00942363" w:rsidRPr="00311A1C" w:rsidRDefault="00942363" w:rsidP="006A4325">
            <w:pPr>
              <w:jc w:val="center"/>
            </w:pPr>
            <w:r w:rsidRPr="00311A1C">
              <w:t>100</w:t>
            </w:r>
          </w:p>
        </w:tc>
      </w:tr>
      <w:tr w:rsidR="00942363" w:rsidRPr="00942363" w14:paraId="58014BC8" w14:textId="77777777" w:rsidTr="006A4325">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5DB3DBBA" w14:textId="77777777" w:rsidR="00942363" w:rsidRPr="00311A1C" w:rsidRDefault="00942363" w:rsidP="006A4325">
            <w:pPr>
              <w:jc w:val="center"/>
            </w:pPr>
            <w:r w:rsidRPr="00311A1C">
              <w:rPr>
                <w:b/>
                <w:bCs/>
              </w:rPr>
              <w:t>Повышение уровня корпоративного управления</w:t>
            </w:r>
          </w:p>
        </w:tc>
      </w:tr>
      <w:tr w:rsidR="00942363" w:rsidRPr="00942363" w14:paraId="6210DD00" w14:textId="77777777" w:rsidTr="006A4325">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50FFF" w14:textId="77777777" w:rsidR="00942363" w:rsidRPr="00311A1C" w:rsidRDefault="00942363" w:rsidP="006A4325">
            <w:pPr>
              <w:jc w:val="center"/>
            </w:pPr>
            <w:r w:rsidRPr="00311A1C">
              <w:rPr>
                <w:b/>
                <w:bCs/>
              </w:rPr>
              <w:t>13</w:t>
            </w:r>
          </w:p>
        </w:tc>
        <w:tc>
          <w:tcPr>
            <w:tcW w:w="1952" w:type="pct"/>
            <w:tcBorders>
              <w:top w:val="nil"/>
              <w:left w:val="nil"/>
              <w:bottom w:val="single" w:sz="8" w:space="0" w:color="auto"/>
              <w:right w:val="single" w:sz="8" w:space="0" w:color="auto"/>
            </w:tcBorders>
            <w:tcMar>
              <w:top w:w="0" w:type="dxa"/>
              <w:left w:w="108" w:type="dxa"/>
              <w:bottom w:w="0" w:type="dxa"/>
              <w:right w:w="108" w:type="dxa"/>
            </w:tcMar>
            <w:hideMark/>
          </w:tcPr>
          <w:p w14:paraId="57038965" w14:textId="77777777" w:rsidR="00942363" w:rsidRPr="00311A1C" w:rsidRDefault="00942363" w:rsidP="006A4325">
            <w:r w:rsidRPr="00311A1C">
              <w:t>Оценка доверия и удовлетворенности субъектов ММСП деятельностью АО «Фонд развития предпринимательства «Даму», %</w:t>
            </w:r>
          </w:p>
        </w:tc>
        <w:tc>
          <w:tcPr>
            <w:tcW w:w="2126" w:type="pct"/>
            <w:tcBorders>
              <w:top w:val="nil"/>
              <w:left w:val="nil"/>
              <w:bottom w:val="single" w:sz="8" w:space="0" w:color="auto"/>
              <w:right w:val="single" w:sz="8" w:space="0" w:color="auto"/>
            </w:tcBorders>
            <w:tcMar>
              <w:top w:w="0" w:type="dxa"/>
              <w:left w:w="108" w:type="dxa"/>
              <w:bottom w:w="0" w:type="dxa"/>
              <w:right w:w="108" w:type="dxa"/>
            </w:tcMar>
          </w:tcPr>
          <w:p w14:paraId="3DBAC6C7" w14:textId="77777777" w:rsidR="00942363" w:rsidRPr="00311A1C" w:rsidRDefault="00942363" w:rsidP="006A4325">
            <w:pPr>
              <w:jc w:val="center"/>
            </w:pPr>
            <w:r w:rsidRPr="00311A1C">
              <w:t>Оценка степени доверия и удовлетворенности субъектов ММСП деятельностью Фонда, осуществляемая через независимую компанию</w:t>
            </w: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14:paraId="41688707" w14:textId="77777777" w:rsidR="00942363" w:rsidRPr="00311A1C" w:rsidRDefault="00942363" w:rsidP="006A4325">
            <w:pPr>
              <w:jc w:val="center"/>
            </w:pPr>
            <w:r w:rsidRPr="00311A1C">
              <w:t>не менее 80</w:t>
            </w:r>
          </w:p>
        </w:tc>
      </w:tr>
    </w:tbl>
    <w:p w14:paraId="7136FB40" w14:textId="207A6B1F" w:rsidR="00014C1A" w:rsidRDefault="00014C1A">
      <w:pPr>
        <w:ind w:firstLine="426"/>
        <w:jc w:val="both"/>
      </w:pPr>
    </w:p>
    <w:p w14:paraId="01EB1AEA" w14:textId="77777777" w:rsidR="0014205A" w:rsidRPr="004938ED" w:rsidRDefault="0014205A" w:rsidP="0014205A">
      <w:pPr>
        <w:ind w:firstLine="426"/>
        <w:jc w:val="both"/>
        <w:rPr>
          <w:color w:val="auto"/>
        </w:rPr>
      </w:pPr>
      <w:r>
        <w:t xml:space="preserve">* Сумма кредитов, выданных частному сектору, рассчитывается как общая сумма кредитов выданных частному сектору, за вычетом кредитов предоставленных государственным, квазигосударственным организациям, а также организациям с блокирующей (&gt; 50%) или более долей участия </w:t>
      </w:r>
      <w:r w:rsidRPr="00E821F8">
        <w:t xml:space="preserve">государства </w:t>
      </w:r>
      <w:r w:rsidRPr="00E821F8">
        <w:rPr>
          <w:i/>
          <w:iCs/>
        </w:rPr>
        <w:t>(за исключением сумм кредитов по программам обусловленного размещения средств, реализуемых в рамках постановлений Правительства Республики Казахстан</w:t>
      </w:r>
      <w:r>
        <w:rPr>
          <w:i/>
          <w:iCs/>
        </w:rPr>
        <w:t xml:space="preserve">, </w:t>
      </w:r>
      <w:r w:rsidRPr="001F324F">
        <w:rPr>
          <w:i/>
          <w:iCs/>
        </w:rPr>
        <w:t>поручений Премьер министра Республики Казахстан и (или) решений Государственной коми</w:t>
      </w:r>
      <w:r w:rsidRPr="00E821F8">
        <w:rPr>
          <w:i/>
          <w:iCs/>
        </w:rPr>
        <w:t xml:space="preserve">ссии по вопросам модернизации экономики Республики Казахстан либо за счет привлеченных инвестиций </w:t>
      </w:r>
      <w:r w:rsidRPr="004938ED">
        <w:rPr>
          <w:i/>
          <w:iCs/>
          <w:color w:val="auto"/>
        </w:rPr>
        <w:t>из бюджета и от международных финансовых институтов)</w:t>
      </w:r>
      <w:r w:rsidRPr="004938ED">
        <w:rPr>
          <w:color w:val="auto"/>
        </w:rPr>
        <w:t>.</w:t>
      </w:r>
    </w:p>
    <w:p w14:paraId="57617941" w14:textId="77777777" w:rsidR="00014C1A" w:rsidRDefault="00003B0B">
      <w:pPr>
        <w:ind w:firstLine="426"/>
        <w:jc w:val="both"/>
      </w:pPr>
      <w:r>
        <w:t> </w:t>
      </w:r>
    </w:p>
    <w:p w14:paraId="5175A8C6" w14:textId="77777777" w:rsidR="00014C1A" w:rsidRDefault="00003B0B">
      <w:pPr>
        <w:ind w:firstLine="426"/>
        <w:jc w:val="both"/>
      </w:pPr>
      <w:r>
        <w:t> </w:t>
      </w:r>
    </w:p>
    <w:p w14:paraId="29D89EEE" w14:textId="77777777" w:rsidR="00014C1A" w:rsidRDefault="00003B0B">
      <w:pPr>
        <w:jc w:val="center"/>
      </w:pPr>
      <w:bookmarkStart w:id="28" w:name="SUB20"/>
      <w:bookmarkEnd w:id="28"/>
      <w:r>
        <w:rPr>
          <w:rStyle w:val="s1"/>
        </w:rPr>
        <w:t>Заключение</w:t>
      </w:r>
    </w:p>
    <w:p w14:paraId="7655D29F" w14:textId="77777777" w:rsidR="00014C1A" w:rsidRDefault="00003B0B">
      <w:pPr>
        <w:ind w:firstLine="426"/>
        <w:jc w:val="center"/>
      </w:pPr>
      <w:r>
        <w:t> </w:t>
      </w:r>
    </w:p>
    <w:p w14:paraId="557E0683" w14:textId="77777777" w:rsidR="00014C1A" w:rsidRDefault="00003B0B">
      <w:pPr>
        <w:ind w:firstLine="426"/>
        <w:jc w:val="both"/>
      </w:pPr>
      <w:r>
        <w:t>Стратегия развития Фонда направлена на развития сектора ММСП Казахстана и учитывает опыт, успешной и эффективной реализации как государственных, так и собственных программ развития ММСП. Фонд имеет двадцатилетний опыт поддержки ММСП и ряд других сильных сторон, которые будут использованы для повышения эффективной реализации Стратегии развития и достижения поставленных целей, задач и КПД.</w:t>
      </w:r>
    </w:p>
    <w:p w14:paraId="5ECCA708" w14:textId="11E2319A" w:rsidR="00014C1A" w:rsidRPr="000800CB" w:rsidRDefault="00003B0B" w:rsidP="000800CB">
      <w:pPr>
        <w:ind w:firstLine="426"/>
        <w:jc w:val="both"/>
      </w:pPr>
      <w:r>
        <w:lastRenderedPageBreak/>
        <w:t xml:space="preserve">С целью обеспечения массового охвата финансовыми инструментами Фонда, в рамках Стратегии развития, Фонд продолжит работать по существующим обусловленным программам размещения кредитных средств через БВУ/ЛК, а также будет наращивать объемы финансирования микро, малых предприятий посредством финансирования через микрофинансовые организации. Также, Фонд будет реализовывать инструменты повышения доступности кредитования, в том числе субсидирование ставки вознаграждения и гарантирование кредитов. В части гарантирования Фонд будет использовать как существующий в рамках </w:t>
      </w:r>
      <w:r w:rsidR="00D639E2">
        <w:t>Национального проекта</w:t>
      </w:r>
      <w:r>
        <w:t xml:space="preserve"> </w:t>
      </w:r>
      <w:r w:rsidR="00740084" w:rsidRPr="00740084">
        <w:t xml:space="preserve">и Механизма </w:t>
      </w:r>
      <w:r>
        <w:t xml:space="preserve">инструмент гарантирования, так и увеличивать объем гарантий, выдаваемых без отраслевого ограничения в рамках собственной </w:t>
      </w:r>
      <w:hyperlink r:id="rId41" w:history="1">
        <w:r>
          <w:rPr>
            <w:rStyle w:val="a5"/>
          </w:rPr>
          <w:t>программы</w:t>
        </w:r>
      </w:hyperlink>
      <w:r>
        <w:t xml:space="preserve"> «Даму-Оптима». </w:t>
      </w:r>
      <w:r w:rsidR="00DF02E7">
        <w:rPr>
          <w:color w:val="auto"/>
        </w:rPr>
        <w:t>Т</w:t>
      </w:r>
      <w:r w:rsidR="000800CB" w:rsidRPr="000128F4">
        <w:rPr>
          <w:color w:val="auto"/>
        </w:rPr>
        <w:t xml:space="preserve">акже, в рамках принятого функционала от ФФПСХ, </w:t>
      </w:r>
      <w:r w:rsidR="00DF02E7">
        <w:rPr>
          <w:color w:val="auto"/>
        </w:rPr>
        <w:t>Фонд планирует</w:t>
      </w:r>
      <w:r w:rsidR="000800CB" w:rsidRPr="000128F4">
        <w:rPr>
          <w:color w:val="auto"/>
        </w:rPr>
        <w:t xml:space="preserve"> расширять портфель проектов гарантирования </w:t>
      </w:r>
      <w:r w:rsidR="00C46508">
        <w:rPr>
          <w:color w:val="auto"/>
        </w:rPr>
        <w:t>по кредитам субъектов</w:t>
      </w:r>
      <w:r w:rsidR="000800CB" w:rsidRPr="000128F4">
        <w:rPr>
          <w:color w:val="auto"/>
        </w:rPr>
        <w:t xml:space="preserve"> АПК</w:t>
      </w:r>
      <w:r w:rsidR="00DF02E7">
        <w:rPr>
          <w:color w:val="auto"/>
        </w:rPr>
        <w:t xml:space="preserve">, а в рамках продукта </w:t>
      </w:r>
      <w:r w:rsidR="00CF3A74">
        <w:rPr>
          <w:color w:val="auto"/>
        </w:rPr>
        <w:t xml:space="preserve">по </w:t>
      </w:r>
      <w:r w:rsidR="00DF02E7">
        <w:rPr>
          <w:color w:val="auto"/>
        </w:rPr>
        <w:t>гарантировани</w:t>
      </w:r>
      <w:r w:rsidR="00CF3A74">
        <w:rPr>
          <w:color w:val="auto"/>
        </w:rPr>
        <w:t>ю</w:t>
      </w:r>
      <w:r w:rsidR="00DF02E7">
        <w:rPr>
          <w:color w:val="auto"/>
        </w:rPr>
        <w:t xml:space="preserve"> облигаций, планирует реализацию государственной политики </w:t>
      </w:r>
      <w:r w:rsidR="00DF02E7" w:rsidRPr="006C217A">
        <w:rPr>
          <w:rFonts w:eastAsia="Calibri"/>
        </w:rPr>
        <w:t>по развитию фондового рынка</w:t>
      </w:r>
      <w:r w:rsidR="00DF02E7">
        <w:rPr>
          <w:rFonts w:eastAsia="Calibri"/>
        </w:rPr>
        <w:t xml:space="preserve"> посредством инструмента гарантирования</w:t>
      </w:r>
      <w:r w:rsidR="000800CB" w:rsidRPr="000128F4">
        <w:rPr>
          <w:color w:val="auto"/>
        </w:rPr>
        <w:t>.</w:t>
      </w:r>
      <w:r w:rsidR="000800CB">
        <w:rPr>
          <w:color w:val="auto"/>
        </w:rPr>
        <w:t xml:space="preserve"> </w:t>
      </w:r>
      <w:r>
        <w:t xml:space="preserve">В части субсидирования Фонд продолжит обеспечивать инструментом субсидирования ММСП </w:t>
      </w:r>
      <w:r w:rsidR="00D639E2">
        <w:t xml:space="preserve">в </w:t>
      </w:r>
      <w:r w:rsidR="00D639E2" w:rsidRPr="000128F4">
        <w:rPr>
          <w:color w:val="auto"/>
        </w:rPr>
        <w:t xml:space="preserve">рамках Национального </w:t>
      </w:r>
      <w:r w:rsidR="00D639E2" w:rsidRPr="00740084">
        <w:t>проекта</w:t>
      </w:r>
      <w:r w:rsidR="00740084" w:rsidRPr="00740084">
        <w:t xml:space="preserve"> и Механизма</w:t>
      </w:r>
      <w:r w:rsidRPr="000128F4">
        <w:rPr>
          <w:color w:val="auto"/>
        </w:rPr>
        <w:t>.</w:t>
      </w:r>
      <w:r w:rsidR="000128F4" w:rsidRPr="000128F4">
        <w:rPr>
          <w:color w:val="auto"/>
        </w:rPr>
        <w:t xml:space="preserve"> </w:t>
      </w:r>
    </w:p>
    <w:p w14:paraId="6C30B6C5" w14:textId="77777777" w:rsidR="00014C1A" w:rsidRDefault="00003B0B">
      <w:pPr>
        <w:ind w:firstLine="426"/>
        <w:jc w:val="both"/>
      </w:pPr>
      <w:r>
        <w:t>Одним из приоритетных направлений деятельности Фонда, с учетом наличия стратегической задачи по увеличению доли охвата ММСП финансовыми программами, является увеличение объема заемных средств, и диверсификация источников фондирования. В рамках данного направления Фонд будет использовать как кредитные средства, так и реализовывать облигационную программу, и привлекать стратегического инвестора в капитал Фонда.</w:t>
      </w:r>
    </w:p>
    <w:p w14:paraId="23E08DBE" w14:textId="77777777" w:rsidR="00014C1A" w:rsidRDefault="00003B0B">
      <w:pPr>
        <w:ind w:firstLine="426"/>
        <w:jc w:val="both"/>
      </w:pPr>
      <w:r>
        <w:t xml:space="preserve">Для обеспечения оптимального, удобного и комплексного доступа к финансовым инструментам Фонда в рамках Стратегии развития будет проводиться реализация проекта </w:t>
      </w:r>
      <w:r>
        <w:rPr>
          <w:lang w:val="en-US"/>
        </w:rPr>
        <w:t>DAMU</w:t>
      </w:r>
      <w:r w:rsidRPr="007C286C">
        <w:t xml:space="preserve"> </w:t>
      </w:r>
      <w:r>
        <w:rPr>
          <w:lang w:val="fr-FR"/>
        </w:rPr>
        <w:t xml:space="preserve">Digital. </w:t>
      </w:r>
      <w:r>
        <w:t>Основным принципом проекта является организация принципа «единого окна» с предоставлением инструментов для самообслуживания ММСП. Данный инструмент обеспечит ММСП - оперативность, доступность и прозрачность во взаимодействии с Фондом.</w:t>
      </w:r>
    </w:p>
    <w:p w14:paraId="78AA7455" w14:textId="3E8CE0E9" w:rsidR="00014C1A" w:rsidRDefault="00003B0B">
      <w:pPr>
        <w:ind w:firstLine="426"/>
        <w:jc w:val="both"/>
      </w:pPr>
      <w:r>
        <w:t>Политика Фонда по совершенствованию корпоративного управления нацелена на повышение оперативности и качества принимаемых решений, улучшение контроля за их исполнением</w:t>
      </w:r>
      <w:r w:rsidR="000800CB">
        <w:t xml:space="preserve">, </w:t>
      </w:r>
      <w:r w:rsidR="000800CB" w:rsidRPr="004A57BC">
        <w:t>внедрение принципов устойчивого развития</w:t>
      </w:r>
      <w:r>
        <w:t xml:space="preserve"> и обеспечение транспарентности деятельности Фонда.</w:t>
      </w:r>
    </w:p>
    <w:p w14:paraId="3E3DD791" w14:textId="77777777" w:rsidR="00014C1A" w:rsidRDefault="00003B0B">
      <w:pPr>
        <w:ind w:firstLine="426"/>
        <w:jc w:val="both"/>
      </w:pPr>
      <w:r>
        <w:t>В результате реализации Стратегии развития Фонд будет позиционироваться как национальный институт, инициирующий и реализующий программы по поддержке и развитию ММСП.</w:t>
      </w:r>
    </w:p>
    <w:p w14:paraId="76F87CB9" w14:textId="77777777" w:rsidR="002E6FC4" w:rsidRDefault="002E6FC4">
      <w:pPr>
        <w:ind w:firstLine="426"/>
        <w:jc w:val="both"/>
      </w:pPr>
    </w:p>
    <w:p w14:paraId="35D5BE38" w14:textId="77777777" w:rsidR="002E6FC4" w:rsidRDefault="002E6FC4">
      <w:pPr>
        <w:ind w:firstLine="426"/>
        <w:jc w:val="both"/>
      </w:pPr>
    </w:p>
    <w:p w14:paraId="63EF2B4E" w14:textId="77777777" w:rsidR="002E6FC4" w:rsidRDefault="002E6FC4">
      <w:pPr>
        <w:ind w:firstLine="426"/>
        <w:jc w:val="both"/>
      </w:pPr>
    </w:p>
    <w:p w14:paraId="695D3BAE" w14:textId="77777777" w:rsidR="002E6FC4" w:rsidRDefault="002E6FC4">
      <w:pPr>
        <w:ind w:firstLine="426"/>
        <w:jc w:val="both"/>
      </w:pPr>
    </w:p>
    <w:p w14:paraId="38C77514" w14:textId="77777777" w:rsidR="002E6FC4" w:rsidRDefault="002E6FC4">
      <w:pPr>
        <w:ind w:firstLine="426"/>
        <w:jc w:val="both"/>
      </w:pPr>
    </w:p>
    <w:p w14:paraId="56E34533" w14:textId="77777777" w:rsidR="002E6FC4" w:rsidRDefault="002E6FC4">
      <w:pPr>
        <w:ind w:firstLine="426"/>
        <w:jc w:val="both"/>
      </w:pPr>
    </w:p>
    <w:p w14:paraId="67E2938F" w14:textId="77777777" w:rsidR="002E6FC4" w:rsidRDefault="002E6FC4">
      <w:pPr>
        <w:ind w:firstLine="426"/>
        <w:jc w:val="both"/>
      </w:pPr>
    </w:p>
    <w:p w14:paraId="7A43D393" w14:textId="77777777" w:rsidR="002E6FC4" w:rsidRDefault="002E6FC4">
      <w:pPr>
        <w:ind w:firstLine="426"/>
        <w:jc w:val="both"/>
      </w:pPr>
    </w:p>
    <w:p w14:paraId="6583A4B9" w14:textId="77777777" w:rsidR="00014C1A" w:rsidRDefault="00003B0B">
      <w:pPr>
        <w:ind w:firstLine="426"/>
        <w:jc w:val="both"/>
      </w:pPr>
      <w:r>
        <w:t> </w:t>
      </w:r>
    </w:p>
    <w:p w14:paraId="06002629" w14:textId="77777777" w:rsidR="00014C1A" w:rsidRDefault="00003B0B" w:rsidP="008E5635">
      <w:pPr>
        <w:pageBreakBefore/>
        <w:ind w:firstLine="425"/>
        <w:jc w:val="both"/>
      </w:pPr>
      <w:bookmarkStart w:id="29" w:name="SUB1"/>
      <w:bookmarkEnd w:id="29"/>
      <w:r>
        <w:rPr>
          <w:b/>
          <w:bCs/>
        </w:rPr>
        <w:lastRenderedPageBreak/>
        <w:t>Расшифровка аббревиатур:</w:t>
      </w:r>
    </w:p>
    <w:p w14:paraId="4EC4948A" w14:textId="77777777" w:rsidR="00014C1A" w:rsidRDefault="00003B0B">
      <w:pPr>
        <w:ind w:firstLine="426"/>
        <w:jc w:val="both"/>
      </w:pPr>
      <w:r>
        <w:t> </w:t>
      </w:r>
    </w:p>
    <w:tbl>
      <w:tblPr>
        <w:tblW w:w="4967" w:type="pct"/>
        <w:tblCellMar>
          <w:left w:w="0" w:type="dxa"/>
          <w:right w:w="0" w:type="dxa"/>
        </w:tblCellMar>
        <w:tblLook w:val="04A0" w:firstRow="1" w:lastRow="0" w:firstColumn="1" w:lastColumn="0" w:noHBand="0" w:noVBand="1"/>
      </w:tblPr>
      <w:tblGrid>
        <w:gridCol w:w="2684"/>
        <w:gridCol w:w="6589"/>
      </w:tblGrid>
      <w:tr w:rsidR="00014C1A" w14:paraId="36003E72" w14:textId="77777777" w:rsidTr="005A2E06">
        <w:trPr>
          <w:trHeight w:val="20"/>
        </w:trPr>
        <w:tc>
          <w:tcPr>
            <w:tcW w:w="1447"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14:paraId="668351F4" w14:textId="77777777" w:rsidR="00014C1A" w:rsidRDefault="00003B0B">
            <w:r>
              <w:rPr>
                <w:b/>
                <w:bCs/>
              </w:rPr>
              <w:t>АБР</w:t>
            </w:r>
          </w:p>
        </w:tc>
        <w:tc>
          <w:tcPr>
            <w:tcW w:w="3553"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56EBFAC5" w14:textId="77777777" w:rsidR="00014C1A" w:rsidRDefault="00003B0B">
            <w:r>
              <w:t>Азиатский Банк Развития</w:t>
            </w:r>
          </w:p>
        </w:tc>
      </w:tr>
      <w:tr w:rsidR="00014C1A" w14:paraId="615DF5E9" w14:textId="77777777" w:rsidTr="005A2E06">
        <w:trPr>
          <w:trHeight w:val="20"/>
        </w:trPr>
        <w:tc>
          <w:tcPr>
            <w:tcW w:w="144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42685DF3" w14:textId="77777777" w:rsidR="00014C1A" w:rsidRDefault="00003B0B">
            <w:r>
              <w:rPr>
                <w:b/>
                <w:bCs/>
              </w:rPr>
              <w:t>АО</w:t>
            </w:r>
          </w:p>
        </w:tc>
        <w:tc>
          <w:tcPr>
            <w:tcW w:w="3553" w:type="pct"/>
            <w:tcBorders>
              <w:top w:val="nil"/>
              <w:left w:val="nil"/>
              <w:bottom w:val="single" w:sz="8" w:space="0" w:color="auto"/>
              <w:right w:val="single" w:sz="8" w:space="0" w:color="auto"/>
            </w:tcBorders>
            <w:tcMar>
              <w:top w:w="0" w:type="dxa"/>
              <w:left w:w="40" w:type="dxa"/>
              <w:bottom w:w="0" w:type="dxa"/>
              <w:right w:w="40" w:type="dxa"/>
            </w:tcMar>
            <w:hideMark/>
          </w:tcPr>
          <w:p w14:paraId="38E91882" w14:textId="77777777" w:rsidR="00014C1A" w:rsidRDefault="00003B0B">
            <w:r>
              <w:t>Акционерное общество</w:t>
            </w:r>
          </w:p>
        </w:tc>
      </w:tr>
      <w:tr w:rsidR="00014C1A" w14:paraId="4D1EF647" w14:textId="77777777" w:rsidTr="005A2E06">
        <w:trPr>
          <w:trHeight w:val="20"/>
        </w:trPr>
        <w:tc>
          <w:tcPr>
            <w:tcW w:w="144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6CAFDECF" w14:textId="77777777" w:rsidR="00014C1A" w:rsidRDefault="00003B0B">
            <w:r>
              <w:rPr>
                <w:b/>
                <w:bCs/>
              </w:rPr>
              <w:t>АО «НУХ «Байтерек» / Единственный акционер / Акционер, Холдинг</w:t>
            </w:r>
          </w:p>
        </w:tc>
        <w:tc>
          <w:tcPr>
            <w:tcW w:w="3553" w:type="pct"/>
            <w:tcBorders>
              <w:top w:val="nil"/>
              <w:left w:val="nil"/>
              <w:bottom w:val="single" w:sz="8" w:space="0" w:color="auto"/>
              <w:right w:val="single" w:sz="8" w:space="0" w:color="auto"/>
            </w:tcBorders>
            <w:tcMar>
              <w:top w:w="0" w:type="dxa"/>
              <w:left w:w="40" w:type="dxa"/>
              <w:bottom w:w="0" w:type="dxa"/>
              <w:right w:w="40" w:type="dxa"/>
            </w:tcMar>
            <w:hideMark/>
          </w:tcPr>
          <w:p w14:paraId="32038C02" w14:textId="77777777" w:rsidR="00014C1A" w:rsidRDefault="00003B0B">
            <w:r>
              <w:t>АО «Национальный управляющий холдинг «Байтерек»</w:t>
            </w:r>
          </w:p>
        </w:tc>
      </w:tr>
      <w:tr w:rsidR="000800CB" w14:paraId="7146E7F5" w14:textId="77777777" w:rsidTr="005A2E06">
        <w:trPr>
          <w:trHeight w:val="20"/>
        </w:trPr>
        <w:tc>
          <w:tcPr>
            <w:tcW w:w="1447" w:type="pct"/>
            <w:tcBorders>
              <w:top w:val="nil"/>
              <w:left w:val="single" w:sz="8" w:space="0" w:color="auto"/>
              <w:bottom w:val="single" w:sz="8" w:space="0" w:color="auto"/>
              <w:right w:val="single" w:sz="8" w:space="0" w:color="auto"/>
            </w:tcBorders>
            <w:tcMar>
              <w:top w:w="0" w:type="dxa"/>
              <w:left w:w="40" w:type="dxa"/>
              <w:bottom w:w="0" w:type="dxa"/>
              <w:right w:w="40" w:type="dxa"/>
            </w:tcMar>
          </w:tcPr>
          <w:p w14:paraId="2E960F9E" w14:textId="0D389903" w:rsidR="000800CB" w:rsidRPr="000800CB" w:rsidRDefault="000800CB" w:rsidP="000800CB">
            <w:pPr>
              <w:rPr>
                <w:b/>
                <w:bCs/>
              </w:rPr>
            </w:pPr>
            <w:r w:rsidRPr="000800CB">
              <w:rPr>
                <w:b/>
                <w:bCs/>
              </w:rPr>
              <w:t>АО «НУХ «КазАгро»</w:t>
            </w:r>
          </w:p>
        </w:tc>
        <w:tc>
          <w:tcPr>
            <w:tcW w:w="3553" w:type="pct"/>
            <w:tcBorders>
              <w:top w:val="nil"/>
              <w:left w:val="nil"/>
              <w:bottom w:val="single" w:sz="8" w:space="0" w:color="auto"/>
              <w:right w:val="single" w:sz="8" w:space="0" w:color="auto"/>
            </w:tcBorders>
            <w:tcMar>
              <w:top w:w="0" w:type="dxa"/>
              <w:left w:w="40" w:type="dxa"/>
              <w:bottom w:w="0" w:type="dxa"/>
              <w:right w:w="40" w:type="dxa"/>
            </w:tcMar>
          </w:tcPr>
          <w:p w14:paraId="4DE1FA29" w14:textId="4F52B4D2" w:rsidR="000800CB" w:rsidRDefault="000800CB" w:rsidP="000800CB">
            <w:r w:rsidRPr="000800CB">
              <w:t>АО «Национальный управляющий холдинг «КазАгро»</w:t>
            </w:r>
          </w:p>
        </w:tc>
      </w:tr>
      <w:tr w:rsidR="00014C1A" w14:paraId="5E692F2D" w14:textId="77777777" w:rsidTr="005A2E06">
        <w:trPr>
          <w:trHeight w:val="20"/>
        </w:trPr>
        <w:tc>
          <w:tcPr>
            <w:tcW w:w="144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37DADB8F" w14:textId="77777777" w:rsidR="00014C1A" w:rsidRDefault="00003B0B">
            <w:r>
              <w:rPr>
                <w:b/>
                <w:bCs/>
              </w:rPr>
              <w:t>БВУ</w:t>
            </w:r>
          </w:p>
        </w:tc>
        <w:tc>
          <w:tcPr>
            <w:tcW w:w="3553" w:type="pct"/>
            <w:tcBorders>
              <w:top w:val="nil"/>
              <w:left w:val="nil"/>
              <w:bottom w:val="single" w:sz="8" w:space="0" w:color="auto"/>
              <w:right w:val="single" w:sz="8" w:space="0" w:color="auto"/>
            </w:tcBorders>
            <w:tcMar>
              <w:top w:w="0" w:type="dxa"/>
              <w:left w:w="40" w:type="dxa"/>
              <w:bottom w:w="0" w:type="dxa"/>
              <w:right w:w="40" w:type="dxa"/>
            </w:tcMar>
            <w:hideMark/>
          </w:tcPr>
          <w:p w14:paraId="6225C7A7" w14:textId="77777777" w:rsidR="00014C1A" w:rsidRDefault="00003B0B">
            <w:r>
              <w:t>Банки второго уровня</w:t>
            </w:r>
          </w:p>
        </w:tc>
      </w:tr>
      <w:tr w:rsidR="00014C1A" w14:paraId="6DF9FF13" w14:textId="77777777" w:rsidTr="005A2E06">
        <w:trPr>
          <w:trHeight w:val="20"/>
        </w:trPr>
        <w:tc>
          <w:tcPr>
            <w:tcW w:w="144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0443C591" w14:textId="77777777" w:rsidR="00014C1A" w:rsidRDefault="00003B0B">
            <w:r>
              <w:rPr>
                <w:b/>
                <w:bCs/>
              </w:rPr>
              <w:t>ВБ</w:t>
            </w:r>
          </w:p>
        </w:tc>
        <w:tc>
          <w:tcPr>
            <w:tcW w:w="3553" w:type="pct"/>
            <w:tcBorders>
              <w:top w:val="nil"/>
              <w:left w:val="nil"/>
              <w:bottom w:val="single" w:sz="8" w:space="0" w:color="auto"/>
              <w:right w:val="single" w:sz="8" w:space="0" w:color="auto"/>
            </w:tcBorders>
            <w:tcMar>
              <w:top w:w="0" w:type="dxa"/>
              <w:left w:w="40" w:type="dxa"/>
              <w:bottom w:w="0" w:type="dxa"/>
              <w:right w:w="40" w:type="dxa"/>
            </w:tcMar>
            <w:hideMark/>
          </w:tcPr>
          <w:p w14:paraId="36FEF496" w14:textId="77777777" w:rsidR="00014C1A" w:rsidRDefault="00003B0B">
            <w:r>
              <w:t>Всемирный банк</w:t>
            </w:r>
          </w:p>
        </w:tc>
      </w:tr>
      <w:tr w:rsidR="00014C1A" w14:paraId="18F4AF83" w14:textId="77777777" w:rsidTr="005A2E06">
        <w:trPr>
          <w:trHeight w:val="20"/>
        </w:trPr>
        <w:tc>
          <w:tcPr>
            <w:tcW w:w="144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2ABB5AEA" w14:textId="77777777" w:rsidR="00014C1A" w:rsidRDefault="00003B0B">
            <w:r>
              <w:rPr>
                <w:b/>
                <w:bCs/>
              </w:rPr>
              <w:t>ВЕД</w:t>
            </w:r>
          </w:p>
        </w:tc>
        <w:tc>
          <w:tcPr>
            <w:tcW w:w="3553" w:type="pct"/>
            <w:tcBorders>
              <w:top w:val="nil"/>
              <w:left w:val="nil"/>
              <w:bottom w:val="single" w:sz="8" w:space="0" w:color="auto"/>
              <w:right w:val="single" w:sz="8" w:space="0" w:color="auto"/>
            </w:tcBorders>
            <w:tcMar>
              <w:top w:w="0" w:type="dxa"/>
              <w:left w:w="40" w:type="dxa"/>
              <w:bottom w:w="0" w:type="dxa"/>
              <w:right w:w="40" w:type="dxa"/>
            </w:tcMar>
            <w:hideMark/>
          </w:tcPr>
          <w:p w14:paraId="709B82C5" w14:textId="77777777" w:rsidR="00014C1A" w:rsidRDefault="00003B0B">
            <w:r>
              <w:t>Временно-свободные средства</w:t>
            </w:r>
          </w:p>
        </w:tc>
      </w:tr>
      <w:tr w:rsidR="00014C1A" w14:paraId="6502BA60" w14:textId="77777777" w:rsidTr="005A2E06">
        <w:trPr>
          <w:trHeight w:val="20"/>
        </w:trPr>
        <w:tc>
          <w:tcPr>
            <w:tcW w:w="144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7DFDF673" w14:textId="77777777" w:rsidR="00014C1A" w:rsidRDefault="00003B0B">
            <w:r>
              <w:rPr>
                <w:b/>
                <w:bCs/>
              </w:rPr>
              <w:t>ГПИИР</w:t>
            </w:r>
          </w:p>
        </w:tc>
        <w:tc>
          <w:tcPr>
            <w:tcW w:w="3553" w:type="pct"/>
            <w:tcBorders>
              <w:top w:val="nil"/>
              <w:left w:val="nil"/>
              <w:bottom w:val="single" w:sz="8" w:space="0" w:color="auto"/>
              <w:right w:val="single" w:sz="8" w:space="0" w:color="auto"/>
            </w:tcBorders>
            <w:tcMar>
              <w:top w:w="0" w:type="dxa"/>
              <w:left w:w="40" w:type="dxa"/>
              <w:bottom w:w="0" w:type="dxa"/>
              <w:right w:w="40" w:type="dxa"/>
            </w:tcMar>
            <w:hideMark/>
          </w:tcPr>
          <w:p w14:paraId="12E48D05" w14:textId="77777777" w:rsidR="00014C1A" w:rsidRDefault="00003B0B">
            <w:r>
              <w:t>Государственная программа индустриально-инновационного развития на 2015-2019 годы</w:t>
            </w:r>
          </w:p>
        </w:tc>
      </w:tr>
      <w:tr w:rsidR="00014C1A" w14:paraId="57B1172F" w14:textId="77777777" w:rsidTr="005A2E06">
        <w:trPr>
          <w:trHeight w:val="20"/>
        </w:trPr>
        <w:tc>
          <w:tcPr>
            <w:tcW w:w="144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34B4F29B" w14:textId="4BE239F6" w:rsidR="00014C1A" w:rsidRDefault="00E71A2C">
            <w:hyperlink r:id="rId42" w:history="1">
              <w:r w:rsidR="00003B0B" w:rsidRPr="0044616E">
                <w:rPr>
                  <w:b/>
                  <w:bCs/>
                </w:rPr>
                <w:t>Единая программа</w:t>
              </w:r>
            </w:hyperlink>
            <w:r w:rsidR="00003B0B">
              <w:rPr>
                <w:b/>
                <w:bCs/>
              </w:rPr>
              <w:t xml:space="preserve"> «ДКБ</w:t>
            </w:r>
            <w:r w:rsidR="001C1E49">
              <w:rPr>
                <w:b/>
                <w:bCs/>
              </w:rPr>
              <w:t>-</w:t>
            </w:r>
            <w:r w:rsidR="00003B0B">
              <w:rPr>
                <w:b/>
                <w:bCs/>
              </w:rPr>
              <w:t>2020» / ЕП «ДКБ</w:t>
            </w:r>
            <w:r w:rsidR="001C1E49">
              <w:rPr>
                <w:b/>
                <w:bCs/>
              </w:rPr>
              <w:t>-</w:t>
            </w:r>
            <w:r w:rsidR="00003B0B">
              <w:rPr>
                <w:b/>
                <w:bCs/>
              </w:rPr>
              <w:t>2020» / Программа «ДКБ-2020»</w:t>
            </w:r>
          </w:p>
        </w:tc>
        <w:tc>
          <w:tcPr>
            <w:tcW w:w="3553" w:type="pct"/>
            <w:tcBorders>
              <w:top w:val="nil"/>
              <w:left w:val="nil"/>
              <w:bottom w:val="single" w:sz="8" w:space="0" w:color="auto"/>
              <w:right w:val="single" w:sz="8" w:space="0" w:color="auto"/>
            </w:tcBorders>
            <w:tcMar>
              <w:top w:w="0" w:type="dxa"/>
              <w:left w:w="40" w:type="dxa"/>
              <w:bottom w:w="0" w:type="dxa"/>
              <w:right w:w="40" w:type="dxa"/>
            </w:tcMar>
            <w:hideMark/>
          </w:tcPr>
          <w:p w14:paraId="1CCBF635" w14:textId="40D65E58" w:rsidR="00014C1A" w:rsidRDefault="00003B0B">
            <w:r>
              <w:t>Единая программа поддержки и развития бизнеса «Дорожная карта бизнеса</w:t>
            </w:r>
            <w:r w:rsidR="001C1E49">
              <w:t>-</w:t>
            </w:r>
            <w:r>
              <w:t>2020»</w:t>
            </w:r>
          </w:p>
        </w:tc>
      </w:tr>
      <w:tr w:rsidR="000800CB" w14:paraId="72971FB0" w14:textId="77777777" w:rsidTr="005A2E06">
        <w:trPr>
          <w:trHeight w:val="20"/>
        </w:trPr>
        <w:tc>
          <w:tcPr>
            <w:tcW w:w="1447" w:type="pct"/>
            <w:tcBorders>
              <w:top w:val="nil"/>
              <w:left w:val="single" w:sz="8" w:space="0" w:color="auto"/>
              <w:bottom w:val="single" w:sz="8" w:space="0" w:color="auto"/>
              <w:right w:val="single" w:sz="8" w:space="0" w:color="auto"/>
            </w:tcBorders>
            <w:tcMar>
              <w:top w:w="0" w:type="dxa"/>
              <w:left w:w="40" w:type="dxa"/>
              <w:bottom w:w="0" w:type="dxa"/>
              <w:right w:w="40" w:type="dxa"/>
            </w:tcMar>
          </w:tcPr>
          <w:p w14:paraId="0198843A" w14:textId="1FBB1DB7" w:rsidR="000800CB" w:rsidRPr="000800CB" w:rsidRDefault="00E71A2C" w:rsidP="000800CB">
            <w:hyperlink r:id="rId43" w:history="1">
              <w:r w:rsidR="000800CB" w:rsidRPr="000800CB">
                <w:rPr>
                  <w:b/>
                  <w:bCs/>
                </w:rPr>
                <w:t>ГП</w:t>
              </w:r>
            </w:hyperlink>
            <w:r w:rsidR="000800CB" w:rsidRPr="000800CB">
              <w:rPr>
                <w:b/>
                <w:bCs/>
              </w:rPr>
              <w:t xml:space="preserve"> «ДКБ</w:t>
            </w:r>
            <w:r w:rsidR="001C1E49">
              <w:rPr>
                <w:b/>
                <w:bCs/>
              </w:rPr>
              <w:t>-</w:t>
            </w:r>
            <w:r w:rsidR="000800CB" w:rsidRPr="000800CB">
              <w:rPr>
                <w:b/>
                <w:bCs/>
              </w:rPr>
              <w:t>2025» / «ДКБ</w:t>
            </w:r>
            <w:r w:rsidR="001C1E49">
              <w:rPr>
                <w:b/>
                <w:bCs/>
              </w:rPr>
              <w:t>-</w:t>
            </w:r>
            <w:r w:rsidR="000800CB" w:rsidRPr="000800CB">
              <w:rPr>
                <w:b/>
                <w:bCs/>
              </w:rPr>
              <w:t>2025» / Программа «ДКБ-2025»</w:t>
            </w:r>
          </w:p>
        </w:tc>
        <w:tc>
          <w:tcPr>
            <w:tcW w:w="3553" w:type="pct"/>
            <w:tcBorders>
              <w:top w:val="nil"/>
              <w:left w:val="nil"/>
              <w:bottom w:val="single" w:sz="8" w:space="0" w:color="auto"/>
              <w:right w:val="single" w:sz="8" w:space="0" w:color="auto"/>
            </w:tcBorders>
            <w:tcMar>
              <w:top w:w="0" w:type="dxa"/>
              <w:left w:w="40" w:type="dxa"/>
              <w:bottom w:w="0" w:type="dxa"/>
              <w:right w:w="40" w:type="dxa"/>
            </w:tcMar>
          </w:tcPr>
          <w:p w14:paraId="531548CF" w14:textId="686FCB1F" w:rsidR="000800CB" w:rsidRDefault="000800CB" w:rsidP="000800CB">
            <w:r w:rsidRPr="000800CB">
              <w:t>Государственная программа поддержки и развития бизнеса «Дорожная карта бизнеса</w:t>
            </w:r>
            <w:r w:rsidR="001C1E49">
              <w:t>-</w:t>
            </w:r>
            <w:r w:rsidRPr="000800CB">
              <w:t>2025»</w:t>
            </w:r>
          </w:p>
        </w:tc>
      </w:tr>
      <w:tr w:rsidR="00014C1A" w14:paraId="5F46E89B" w14:textId="77777777" w:rsidTr="005A2E06">
        <w:trPr>
          <w:trHeight w:val="20"/>
        </w:trPr>
        <w:tc>
          <w:tcPr>
            <w:tcW w:w="144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3FD34E4D" w14:textId="77777777" w:rsidR="00014C1A" w:rsidRDefault="00003B0B">
            <w:r>
              <w:rPr>
                <w:b/>
                <w:bCs/>
              </w:rPr>
              <w:t>ЕБРР</w:t>
            </w:r>
          </w:p>
        </w:tc>
        <w:tc>
          <w:tcPr>
            <w:tcW w:w="3553" w:type="pct"/>
            <w:tcBorders>
              <w:top w:val="nil"/>
              <w:left w:val="nil"/>
              <w:bottom w:val="single" w:sz="8" w:space="0" w:color="auto"/>
              <w:right w:val="single" w:sz="8" w:space="0" w:color="auto"/>
            </w:tcBorders>
            <w:tcMar>
              <w:top w:w="0" w:type="dxa"/>
              <w:left w:w="40" w:type="dxa"/>
              <w:bottom w:w="0" w:type="dxa"/>
              <w:right w:w="40" w:type="dxa"/>
            </w:tcMar>
            <w:hideMark/>
          </w:tcPr>
          <w:p w14:paraId="286FACDA" w14:textId="77777777" w:rsidR="00014C1A" w:rsidRDefault="00003B0B">
            <w:r>
              <w:t>Европейский банк реконструкции и развития</w:t>
            </w:r>
          </w:p>
        </w:tc>
      </w:tr>
      <w:tr w:rsidR="00014C1A" w14:paraId="3E9C26AD" w14:textId="77777777" w:rsidTr="005A2E06">
        <w:trPr>
          <w:trHeight w:val="20"/>
        </w:trPr>
        <w:tc>
          <w:tcPr>
            <w:tcW w:w="144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3E56721A" w14:textId="77777777" w:rsidR="00014C1A" w:rsidRDefault="00003B0B">
            <w:r>
              <w:rPr>
                <w:b/>
                <w:bCs/>
              </w:rPr>
              <w:t>ЕИБ</w:t>
            </w:r>
          </w:p>
        </w:tc>
        <w:tc>
          <w:tcPr>
            <w:tcW w:w="3553" w:type="pct"/>
            <w:tcBorders>
              <w:top w:val="nil"/>
              <w:left w:val="nil"/>
              <w:bottom w:val="single" w:sz="8" w:space="0" w:color="auto"/>
              <w:right w:val="single" w:sz="8" w:space="0" w:color="auto"/>
            </w:tcBorders>
            <w:tcMar>
              <w:top w:w="0" w:type="dxa"/>
              <w:left w:w="40" w:type="dxa"/>
              <w:bottom w:w="0" w:type="dxa"/>
              <w:right w:w="40" w:type="dxa"/>
            </w:tcMar>
            <w:hideMark/>
          </w:tcPr>
          <w:p w14:paraId="15642996" w14:textId="77777777" w:rsidR="00014C1A" w:rsidRDefault="00003B0B">
            <w:r>
              <w:t>Европейский инвестиционный банк</w:t>
            </w:r>
          </w:p>
        </w:tc>
      </w:tr>
      <w:tr w:rsidR="00F738D1" w14:paraId="38BC5A73" w14:textId="77777777" w:rsidTr="005A2E06">
        <w:trPr>
          <w:trHeight w:val="20"/>
        </w:trPr>
        <w:tc>
          <w:tcPr>
            <w:tcW w:w="1447" w:type="pct"/>
            <w:tcBorders>
              <w:top w:val="nil"/>
              <w:left w:val="single" w:sz="8" w:space="0" w:color="auto"/>
              <w:bottom w:val="single" w:sz="8" w:space="0" w:color="auto"/>
              <w:right w:val="single" w:sz="8" w:space="0" w:color="auto"/>
            </w:tcBorders>
            <w:tcMar>
              <w:top w:w="0" w:type="dxa"/>
              <w:left w:w="40" w:type="dxa"/>
              <w:bottom w:w="0" w:type="dxa"/>
              <w:right w:w="40" w:type="dxa"/>
            </w:tcMar>
          </w:tcPr>
          <w:p w14:paraId="4B754972" w14:textId="77777777" w:rsidR="00F738D1" w:rsidRDefault="00F738D1" w:rsidP="005C7FED">
            <w:pPr>
              <w:rPr>
                <w:b/>
                <w:color w:val="auto"/>
              </w:rPr>
            </w:pPr>
            <w:r w:rsidRPr="00F738D1">
              <w:rPr>
                <w:b/>
                <w:color w:val="auto"/>
              </w:rPr>
              <w:t>Государственная программа «Еңбек»</w:t>
            </w:r>
            <w:r w:rsidR="005C7FED">
              <w:rPr>
                <w:b/>
                <w:bCs/>
              </w:rPr>
              <w:t xml:space="preserve">, </w:t>
            </w:r>
            <w:r w:rsidR="005C7FED" w:rsidRPr="00F738D1">
              <w:rPr>
                <w:b/>
                <w:bCs/>
              </w:rPr>
              <w:t xml:space="preserve">Программа </w:t>
            </w:r>
            <w:r w:rsidR="005C7FED" w:rsidRPr="00F738D1">
              <w:rPr>
                <w:b/>
                <w:color w:val="auto"/>
              </w:rPr>
              <w:t>«Еңбек»,</w:t>
            </w:r>
          </w:p>
          <w:p w14:paraId="2FBA7157" w14:textId="31E5B565" w:rsidR="005C7FED" w:rsidRPr="00F738D1" w:rsidRDefault="005C7FED" w:rsidP="005C7FED">
            <w:pPr>
              <w:rPr>
                <w:b/>
                <w:bCs/>
              </w:rPr>
            </w:pPr>
            <w:r>
              <w:rPr>
                <w:b/>
                <w:bCs/>
              </w:rPr>
              <w:t>п</w:t>
            </w:r>
            <w:r w:rsidRPr="00F738D1">
              <w:rPr>
                <w:b/>
                <w:bCs/>
              </w:rPr>
              <w:t xml:space="preserve">рограмма </w:t>
            </w:r>
            <w:r w:rsidRPr="00F738D1">
              <w:rPr>
                <w:b/>
                <w:color w:val="auto"/>
              </w:rPr>
              <w:t>«Еңбек»</w:t>
            </w:r>
          </w:p>
        </w:tc>
        <w:tc>
          <w:tcPr>
            <w:tcW w:w="3553" w:type="pct"/>
            <w:tcBorders>
              <w:top w:val="nil"/>
              <w:left w:val="nil"/>
              <w:bottom w:val="single" w:sz="8" w:space="0" w:color="auto"/>
              <w:right w:val="single" w:sz="8" w:space="0" w:color="auto"/>
            </w:tcBorders>
            <w:tcMar>
              <w:top w:w="0" w:type="dxa"/>
              <w:left w:w="40" w:type="dxa"/>
              <w:bottom w:w="0" w:type="dxa"/>
              <w:right w:w="40" w:type="dxa"/>
            </w:tcMar>
          </w:tcPr>
          <w:p w14:paraId="1E9AEE80" w14:textId="3AF0BC77" w:rsidR="00F738D1" w:rsidRDefault="00F738D1" w:rsidP="00F738D1">
            <w:r>
              <w:t xml:space="preserve">Программа развития продуктивной занятости и массового предпринимательства </w:t>
            </w:r>
            <w:r w:rsidRPr="00EC6B6B">
              <w:rPr>
                <w:color w:val="auto"/>
              </w:rPr>
              <w:t>на 2017 – 2021 годы «Еңбек»</w:t>
            </w:r>
            <w:r>
              <w:rPr>
                <w:color w:val="auto"/>
              </w:rPr>
              <w:t xml:space="preserve">, </w:t>
            </w:r>
            <w:r>
              <w:t>утвержденная постановлением Правительства Республики Казахстан от 13 ноября 2018 года № 746</w:t>
            </w:r>
          </w:p>
        </w:tc>
      </w:tr>
      <w:tr w:rsidR="00014C1A" w14:paraId="23D9BFC6" w14:textId="77777777" w:rsidTr="005A2E06">
        <w:trPr>
          <w:trHeight w:val="20"/>
        </w:trPr>
        <w:tc>
          <w:tcPr>
            <w:tcW w:w="144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078483C2" w14:textId="77777777" w:rsidR="00014C1A" w:rsidRDefault="00003B0B">
            <w:r>
              <w:rPr>
                <w:b/>
                <w:bCs/>
              </w:rPr>
              <w:t>ИП</w:t>
            </w:r>
          </w:p>
        </w:tc>
        <w:tc>
          <w:tcPr>
            <w:tcW w:w="3553" w:type="pct"/>
            <w:tcBorders>
              <w:top w:val="nil"/>
              <w:left w:val="nil"/>
              <w:bottom w:val="single" w:sz="8" w:space="0" w:color="auto"/>
              <w:right w:val="single" w:sz="8" w:space="0" w:color="auto"/>
            </w:tcBorders>
            <w:tcMar>
              <w:top w:w="0" w:type="dxa"/>
              <w:left w:w="40" w:type="dxa"/>
              <w:bottom w:w="0" w:type="dxa"/>
              <w:right w:w="40" w:type="dxa"/>
            </w:tcMar>
            <w:hideMark/>
          </w:tcPr>
          <w:p w14:paraId="01BF52D7" w14:textId="77777777" w:rsidR="00014C1A" w:rsidRDefault="00003B0B">
            <w:r>
              <w:t>Индивидуальный предприниматель</w:t>
            </w:r>
          </w:p>
        </w:tc>
      </w:tr>
      <w:tr w:rsidR="00014C1A" w14:paraId="09164363" w14:textId="77777777" w:rsidTr="005A2E06">
        <w:trPr>
          <w:trHeight w:val="20"/>
        </w:trPr>
        <w:tc>
          <w:tcPr>
            <w:tcW w:w="144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739ED536" w14:textId="77777777" w:rsidR="00014C1A" w:rsidRDefault="00003B0B">
            <w:r>
              <w:rPr>
                <w:b/>
                <w:bCs/>
              </w:rPr>
              <w:t>КПД</w:t>
            </w:r>
          </w:p>
        </w:tc>
        <w:tc>
          <w:tcPr>
            <w:tcW w:w="3553" w:type="pct"/>
            <w:tcBorders>
              <w:top w:val="nil"/>
              <w:left w:val="nil"/>
              <w:bottom w:val="single" w:sz="8" w:space="0" w:color="auto"/>
              <w:right w:val="single" w:sz="8" w:space="0" w:color="auto"/>
            </w:tcBorders>
            <w:tcMar>
              <w:top w:w="0" w:type="dxa"/>
              <w:left w:w="40" w:type="dxa"/>
              <w:bottom w:w="0" w:type="dxa"/>
              <w:right w:w="40" w:type="dxa"/>
            </w:tcMar>
            <w:hideMark/>
          </w:tcPr>
          <w:p w14:paraId="2F6677FF" w14:textId="77777777" w:rsidR="00014C1A" w:rsidRDefault="00003B0B">
            <w:r>
              <w:t>Ключевые показатели деятельности</w:t>
            </w:r>
          </w:p>
        </w:tc>
      </w:tr>
      <w:tr w:rsidR="00014C1A" w14:paraId="77F02F15" w14:textId="77777777" w:rsidTr="005A2E06">
        <w:trPr>
          <w:trHeight w:val="20"/>
        </w:trPr>
        <w:tc>
          <w:tcPr>
            <w:tcW w:w="144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3623E6F6" w14:textId="77777777" w:rsidR="00014C1A" w:rsidRDefault="00003B0B">
            <w:r>
              <w:rPr>
                <w:b/>
                <w:bCs/>
              </w:rPr>
              <w:t>КСУР</w:t>
            </w:r>
          </w:p>
        </w:tc>
        <w:tc>
          <w:tcPr>
            <w:tcW w:w="3553" w:type="pct"/>
            <w:tcBorders>
              <w:top w:val="nil"/>
              <w:left w:val="nil"/>
              <w:bottom w:val="single" w:sz="8" w:space="0" w:color="auto"/>
              <w:right w:val="single" w:sz="8" w:space="0" w:color="auto"/>
            </w:tcBorders>
            <w:tcMar>
              <w:top w:w="0" w:type="dxa"/>
              <w:left w:w="40" w:type="dxa"/>
              <w:bottom w:w="0" w:type="dxa"/>
              <w:right w:w="40" w:type="dxa"/>
            </w:tcMar>
            <w:hideMark/>
          </w:tcPr>
          <w:p w14:paraId="1A603579" w14:textId="77777777" w:rsidR="00014C1A" w:rsidRDefault="00003B0B">
            <w:r>
              <w:t>Корпоративная система управления рисками</w:t>
            </w:r>
          </w:p>
        </w:tc>
      </w:tr>
      <w:tr w:rsidR="00014C1A" w14:paraId="2DF7565A" w14:textId="77777777" w:rsidTr="005A2E06">
        <w:trPr>
          <w:trHeight w:val="20"/>
        </w:trPr>
        <w:tc>
          <w:tcPr>
            <w:tcW w:w="144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544B2772" w14:textId="77777777" w:rsidR="00014C1A" w:rsidRDefault="00003B0B">
            <w:r>
              <w:rPr>
                <w:b/>
                <w:bCs/>
              </w:rPr>
              <w:t>КХ</w:t>
            </w:r>
          </w:p>
        </w:tc>
        <w:tc>
          <w:tcPr>
            <w:tcW w:w="3553" w:type="pct"/>
            <w:tcBorders>
              <w:top w:val="nil"/>
              <w:left w:val="nil"/>
              <w:bottom w:val="single" w:sz="8" w:space="0" w:color="auto"/>
              <w:right w:val="single" w:sz="8" w:space="0" w:color="auto"/>
            </w:tcBorders>
            <w:tcMar>
              <w:top w:w="0" w:type="dxa"/>
              <w:left w:w="40" w:type="dxa"/>
              <w:bottom w:w="0" w:type="dxa"/>
              <w:right w:w="40" w:type="dxa"/>
            </w:tcMar>
            <w:hideMark/>
          </w:tcPr>
          <w:p w14:paraId="62353321" w14:textId="77777777" w:rsidR="00014C1A" w:rsidRDefault="00003B0B">
            <w:r>
              <w:t>Крестьянское хозяйство</w:t>
            </w:r>
          </w:p>
        </w:tc>
      </w:tr>
      <w:tr w:rsidR="00014C1A" w14:paraId="44763345" w14:textId="77777777" w:rsidTr="005A2E06">
        <w:trPr>
          <w:trHeight w:val="20"/>
        </w:trPr>
        <w:tc>
          <w:tcPr>
            <w:tcW w:w="144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04B87A9D" w14:textId="77777777" w:rsidR="00014C1A" w:rsidRDefault="00003B0B">
            <w:r>
              <w:rPr>
                <w:b/>
                <w:bCs/>
              </w:rPr>
              <w:t>ЛК</w:t>
            </w:r>
          </w:p>
        </w:tc>
        <w:tc>
          <w:tcPr>
            <w:tcW w:w="3553" w:type="pct"/>
            <w:tcBorders>
              <w:top w:val="nil"/>
              <w:left w:val="nil"/>
              <w:bottom w:val="single" w:sz="8" w:space="0" w:color="auto"/>
              <w:right w:val="single" w:sz="8" w:space="0" w:color="auto"/>
            </w:tcBorders>
            <w:tcMar>
              <w:top w:w="0" w:type="dxa"/>
              <w:left w:w="40" w:type="dxa"/>
              <w:bottom w:w="0" w:type="dxa"/>
              <w:right w:w="40" w:type="dxa"/>
            </w:tcMar>
            <w:hideMark/>
          </w:tcPr>
          <w:p w14:paraId="34448A30" w14:textId="77777777" w:rsidR="00014C1A" w:rsidRDefault="00003B0B">
            <w:r>
              <w:t>Лизинговая компания</w:t>
            </w:r>
          </w:p>
        </w:tc>
      </w:tr>
      <w:tr w:rsidR="00014C1A" w14:paraId="2D39A636" w14:textId="77777777" w:rsidTr="005A2E06">
        <w:trPr>
          <w:trHeight w:val="20"/>
        </w:trPr>
        <w:tc>
          <w:tcPr>
            <w:tcW w:w="144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0599C41F" w14:textId="77777777" w:rsidR="00014C1A" w:rsidRDefault="00003B0B">
            <w:r>
              <w:rPr>
                <w:b/>
                <w:bCs/>
              </w:rPr>
              <w:t>РК</w:t>
            </w:r>
          </w:p>
        </w:tc>
        <w:tc>
          <w:tcPr>
            <w:tcW w:w="3553" w:type="pct"/>
            <w:tcBorders>
              <w:top w:val="nil"/>
              <w:left w:val="nil"/>
              <w:bottom w:val="single" w:sz="8" w:space="0" w:color="auto"/>
              <w:right w:val="single" w:sz="8" w:space="0" w:color="auto"/>
            </w:tcBorders>
            <w:tcMar>
              <w:top w:w="0" w:type="dxa"/>
              <w:left w:w="40" w:type="dxa"/>
              <w:bottom w:w="0" w:type="dxa"/>
              <w:right w:w="40" w:type="dxa"/>
            </w:tcMar>
            <w:hideMark/>
          </w:tcPr>
          <w:p w14:paraId="77059BDF" w14:textId="77777777" w:rsidR="00014C1A" w:rsidRDefault="00003B0B">
            <w:r>
              <w:t>Республика Казахстан</w:t>
            </w:r>
          </w:p>
        </w:tc>
      </w:tr>
      <w:tr w:rsidR="007A303B" w14:paraId="2D5E3D73" w14:textId="77777777" w:rsidTr="005A2E06">
        <w:trPr>
          <w:trHeight w:val="20"/>
        </w:trPr>
        <w:tc>
          <w:tcPr>
            <w:tcW w:w="1447" w:type="pct"/>
            <w:tcBorders>
              <w:top w:val="nil"/>
              <w:left w:val="single" w:sz="8" w:space="0" w:color="auto"/>
              <w:bottom w:val="single" w:sz="8" w:space="0" w:color="auto"/>
              <w:right w:val="single" w:sz="8" w:space="0" w:color="auto"/>
            </w:tcBorders>
            <w:tcMar>
              <w:top w:w="0" w:type="dxa"/>
              <w:left w:w="40" w:type="dxa"/>
              <w:bottom w:w="0" w:type="dxa"/>
              <w:right w:w="40" w:type="dxa"/>
            </w:tcMar>
          </w:tcPr>
          <w:p w14:paraId="2CADD238" w14:textId="5FEC2169" w:rsidR="007A303B" w:rsidRDefault="007A303B">
            <w:pPr>
              <w:rPr>
                <w:b/>
                <w:bCs/>
              </w:rPr>
            </w:pPr>
            <w:r>
              <w:rPr>
                <w:b/>
                <w:bCs/>
              </w:rPr>
              <w:t>Механизм</w:t>
            </w:r>
            <w:r w:rsidR="002C051A">
              <w:rPr>
                <w:b/>
                <w:bCs/>
              </w:rPr>
              <w:t>, ЭПВ</w:t>
            </w:r>
          </w:p>
        </w:tc>
        <w:tc>
          <w:tcPr>
            <w:tcW w:w="3553" w:type="pct"/>
            <w:tcBorders>
              <w:top w:val="nil"/>
              <w:left w:val="nil"/>
              <w:bottom w:val="single" w:sz="8" w:space="0" w:color="auto"/>
              <w:right w:val="single" w:sz="8" w:space="0" w:color="auto"/>
            </w:tcBorders>
            <w:tcMar>
              <w:top w:w="0" w:type="dxa"/>
              <w:left w:w="40" w:type="dxa"/>
              <w:bottom w:w="0" w:type="dxa"/>
              <w:right w:w="40" w:type="dxa"/>
            </w:tcMar>
          </w:tcPr>
          <w:p w14:paraId="236679E0" w14:textId="25216C0B" w:rsidR="007A303B" w:rsidRDefault="00A85420" w:rsidP="002C051A">
            <w:r w:rsidRPr="00A85420">
              <w:t xml:space="preserve">Механизм кредитования и финансового </w:t>
            </w:r>
            <w:r w:rsidR="00ED1665">
              <w:t>лизинга приоритетных проектов «э</w:t>
            </w:r>
            <w:r w:rsidRPr="00A85420">
              <w:t>кономика простых вещей», утвержденн</w:t>
            </w:r>
            <w:r w:rsidR="002C051A">
              <w:t>ый</w:t>
            </w:r>
            <w:r>
              <w:rPr>
                <w:i/>
              </w:rPr>
              <w:t xml:space="preserve"> </w:t>
            </w:r>
            <w:r w:rsidR="007A303B">
              <w:t>Постановление</w:t>
            </w:r>
            <w:r>
              <w:t>м</w:t>
            </w:r>
            <w:r w:rsidR="007A303B">
              <w:t xml:space="preserve"> Правительства Республики Казахстан от 11.12.2018 года №820</w:t>
            </w:r>
          </w:p>
        </w:tc>
      </w:tr>
      <w:tr w:rsidR="00014C1A" w14:paraId="70863088" w14:textId="77777777" w:rsidTr="005A2E06">
        <w:trPr>
          <w:trHeight w:val="20"/>
        </w:trPr>
        <w:tc>
          <w:tcPr>
            <w:tcW w:w="144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17AA242F" w14:textId="77777777" w:rsidR="00014C1A" w:rsidRDefault="00003B0B">
            <w:r>
              <w:rPr>
                <w:b/>
                <w:bCs/>
              </w:rPr>
              <w:t>МИО</w:t>
            </w:r>
          </w:p>
        </w:tc>
        <w:tc>
          <w:tcPr>
            <w:tcW w:w="3553" w:type="pct"/>
            <w:tcBorders>
              <w:top w:val="nil"/>
              <w:left w:val="nil"/>
              <w:bottom w:val="single" w:sz="8" w:space="0" w:color="auto"/>
              <w:right w:val="single" w:sz="8" w:space="0" w:color="auto"/>
            </w:tcBorders>
            <w:tcMar>
              <w:top w:w="0" w:type="dxa"/>
              <w:left w:w="40" w:type="dxa"/>
              <w:bottom w:w="0" w:type="dxa"/>
              <w:right w:w="40" w:type="dxa"/>
            </w:tcMar>
            <w:hideMark/>
          </w:tcPr>
          <w:p w14:paraId="753AEC3F" w14:textId="77777777" w:rsidR="00014C1A" w:rsidRDefault="00003B0B">
            <w:r>
              <w:t>Местный исполнительный орган</w:t>
            </w:r>
          </w:p>
        </w:tc>
      </w:tr>
      <w:tr w:rsidR="00014C1A" w14:paraId="1FFAC824" w14:textId="77777777" w:rsidTr="005A2E06">
        <w:trPr>
          <w:trHeight w:val="20"/>
        </w:trPr>
        <w:tc>
          <w:tcPr>
            <w:tcW w:w="144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6700D727" w14:textId="77777777" w:rsidR="00014C1A" w:rsidRDefault="00003B0B">
            <w:r>
              <w:rPr>
                <w:b/>
                <w:bCs/>
              </w:rPr>
              <w:t>МФО</w:t>
            </w:r>
          </w:p>
        </w:tc>
        <w:tc>
          <w:tcPr>
            <w:tcW w:w="3553" w:type="pct"/>
            <w:tcBorders>
              <w:top w:val="nil"/>
              <w:left w:val="nil"/>
              <w:bottom w:val="single" w:sz="8" w:space="0" w:color="auto"/>
              <w:right w:val="single" w:sz="8" w:space="0" w:color="auto"/>
            </w:tcBorders>
            <w:tcMar>
              <w:top w:w="0" w:type="dxa"/>
              <w:left w:w="40" w:type="dxa"/>
              <w:bottom w:w="0" w:type="dxa"/>
              <w:right w:w="40" w:type="dxa"/>
            </w:tcMar>
            <w:hideMark/>
          </w:tcPr>
          <w:p w14:paraId="264AD5DA" w14:textId="77777777" w:rsidR="00014C1A" w:rsidRDefault="00003B0B">
            <w:r>
              <w:t>Микрофинансовая организация</w:t>
            </w:r>
          </w:p>
        </w:tc>
      </w:tr>
      <w:tr w:rsidR="000800CB" w14:paraId="6C73495E" w14:textId="77777777" w:rsidTr="005A2E06">
        <w:trPr>
          <w:trHeight w:val="20"/>
        </w:trPr>
        <w:tc>
          <w:tcPr>
            <w:tcW w:w="1447" w:type="pct"/>
            <w:tcBorders>
              <w:top w:val="nil"/>
              <w:left w:val="single" w:sz="8" w:space="0" w:color="auto"/>
              <w:bottom w:val="single" w:sz="8" w:space="0" w:color="auto"/>
              <w:right w:val="single" w:sz="8" w:space="0" w:color="auto"/>
            </w:tcBorders>
            <w:tcMar>
              <w:top w:w="0" w:type="dxa"/>
              <w:left w:w="40" w:type="dxa"/>
              <w:bottom w:w="0" w:type="dxa"/>
              <w:right w:w="40" w:type="dxa"/>
            </w:tcMar>
          </w:tcPr>
          <w:p w14:paraId="01A485E4" w14:textId="70D5386F" w:rsidR="000800CB" w:rsidRPr="000800CB" w:rsidRDefault="000800CB">
            <w:pPr>
              <w:rPr>
                <w:b/>
                <w:bCs/>
              </w:rPr>
            </w:pPr>
            <w:r w:rsidRPr="000800CB">
              <w:rPr>
                <w:b/>
                <w:bCs/>
              </w:rPr>
              <w:t>Национальный проект</w:t>
            </w:r>
            <w:r w:rsidR="00A9278C">
              <w:rPr>
                <w:b/>
                <w:bCs/>
              </w:rPr>
              <w:t>, Нацпроект</w:t>
            </w:r>
          </w:p>
        </w:tc>
        <w:tc>
          <w:tcPr>
            <w:tcW w:w="3553" w:type="pct"/>
            <w:tcBorders>
              <w:top w:val="nil"/>
              <w:left w:val="nil"/>
              <w:bottom w:val="single" w:sz="8" w:space="0" w:color="auto"/>
              <w:right w:val="single" w:sz="8" w:space="0" w:color="auto"/>
            </w:tcBorders>
            <w:tcMar>
              <w:top w:w="0" w:type="dxa"/>
              <w:left w:w="40" w:type="dxa"/>
              <w:bottom w:w="0" w:type="dxa"/>
              <w:right w:w="40" w:type="dxa"/>
            </w:tcMar>
          </w:tcPr>
          <w:p w14:paraId="1FB1360D" w14:textId="225F0521" w:rsidR="000800CB" w:rsidRPr="000800CB" w:rsidRDefault="000800CB" w:rsidP="000800CB">
            <w:r w:rsidRPr="000800CB">
              <w:rPr>
                <w:rStyle w:val="s0"/>
                <w:color w:val="auto"/>
              </w:rPr>
              <w:t>Национальный проект по развитию предпринимательства на 2021 – 2025 годы</w:t>
            </w:r>
            <w:r w:rsidRPr="000800CB">
              <w:t>, утвержденного постановлением Правительства Республики Казахстан от 12 октября 2021 года № 728</w:t>
            </w:r>
          </w:p>
        </w:tc>
      </w:tr>
      <w:tr w:rsidR="00014C1A" w14:paraId="5B44C105" w14:textId="77777777" w:rsidTr="005A2E06">
        <w:trPr>
          <w:trHeight w:val="20"/>
        </w:trPr>
        <w:tc>
          <w:tcPr>
            <w:tcW w:w="144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72DCCC8A" w14:textId="77777777" w:rsidR="00014C1A" w:rsidRDefault="00003B0B">
            <w:r>
              <w:rPr>
                <w:b/>
                <w:bCs/>
              </w:rPr>
              <w:t>НБ РК</w:t>
            </w:r>
          </w:p>
        </w:tc>
        <w:tc>
          <w:tcPr>
            <w:tcW w:w="3553" w:type="pct"/>
            <w:tcBorders>
              <w:top w:val="nil"/>
              <w:left w:val="nil"/>
              <w:bottom w:val="single" w:sz="8" w:space="0" w:color="auto"/>
              <w:right w:val="single" w:sz="8" w:space="0" w:color="auto"/>
            </w:tcBorders>
            <w:tcMar>
              <w:top w:w="0" w:type="dxa"/>
              <w:left w:w="40" w:type="dxa"/>
              <w:bottom w:w="0" w:type="dxa"/>
              <w:right w:w="40" w:type="dxa"/>
            </w:tcMar>
            <w:hideMark/>
          </w:tcPr>
          <w:p w14:paraId="1B9FC491" w14:textId="77777777" w:rsidR="00014C1A" w:rsidRDefault="00003B0B">
            <w:r>
              <w:t>Национальный Банк Республики Казахстан</w:t>
            </w:r>
          </w:p>
        </w:tc>
      </w:tr>
      <w:tr w:rsidR="00014C1A" w14:paraId="0628F1FB" w14:textId="77777777" w:rsidTr="005A2E06">
        <w:trPr>
          <w:trHeight w:val="20"/>
        </w:trPr>
        <w:tc>
          <w:tcPr>
            <w:tcW w:w="144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77ADCE8E" w14:textId="77777777" w:rsidR="00014C1A" w:rsidRDefault="00003B0B">
            <w:r>
              <w:rPr>
                <w:b/>
                <w:bCs/>
              </w:rPr>
              <w:t>НФ РК</w:t>
            </w:r>
          </w:p>
        </w:tc>
        <w:tc>
          <w:tcPr>
            <w:tcW w:w="3553" w:type="pct"/>
            <w:tcBorders>
              <w:top w:val="nil"/>
              <w:left w:val="nil"/>
              <w:bottom w:val="single" w:sz="8" w:space="0" w:color="auto"/>
              <w:right w:val="single" w:sz="8" w:space="0" w:color="auto"/>
            </w:tcBorders>
            <w:tcMar>
              <w:top w:w="0" w:type="dxa"/>
              <w:left w:w="40" w:type="dxa"/>
              <w:bottom w:w="0" w:type="dxa"/>
              <w:right w:w="40" w:type="dxa"/>
            </w:tcMar>
            <w:hideMark/>
          </w:tcPr>
          <w:p w14:paraId="61DA1372" w14:textId="77777777" w:rsidR="00014C1A" w:rsidRDefault="00003B0B">
            <w:r>
              <w:t>Национальный фонд Республики Казахстан</w:t>
            </w:r>
          </w:p>
        </w:tc>
      </w:tr>
      <w:tr w:rsidR="00014C1A" w14:paraId="443B1DF8" w14:textId="77777777" w:rsidTr="005A2E06">
        <w:trPr>
          <w:trHeight w:val="20"/>
        </w:trPr>
        <w:tc>
          <w:tcPr>
            <w:tcW w:w="144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6BD7DD6F" w14:textId="77777777" w:rsidR="00014C1A" w:rsidRDefault="00003B0B">
            <w:r>
              <w:rPr>
                <w:b/>
                <w:bCs/>
              </w:rPr>
              <w:t>ОЭСР</w:t>
            </w:r>
          </w:p>
        </w:tc>
        <w:tc>
          <w:tcPr>
            <w:tcW w:w="3553" w:type="pct"/>
            <w:tcBorders>
              <w:top w:val="nil"/>
              <w:left w:val="nil"/>
              <w:bottom w:val="single" w:sz="8" w:space="0" w:color="auto"/>
              <w:right w:val="single" w:sz="8" w:space="0" w:color="auto"/>
            </w:tcBorders>
            <w:tcMar>
              <w:top w:w="0" w:type="dxa"/>
              <w:left w:w="40" w:type="dxa"/>
              <w:bottom w:w="0" w:type="dxa"/>
              <w:right w:w="40" w:type="dxa"/>
            </w:tcMar>
            <w:hideMark/>
          </w:tcPr>
          <w:p w14:paraId="5356CE74" w14:textId="77777777" w:rsidR="00014C1A" w:rsidRDefault="00003B0B">
            <w:r>
              <w:t>Организации экономического сотрудничества и развития</w:t>
            </w:r>
          </w:p>
        </w:tc>
      </w:tr>
      <w:tr w:rsidR="00014C1A" w14:paraId="76F3CDF1" w14:textId="77777777" w:rsidTr="005A2E06">
        <w:trPr>
          <w:trHeight w:val="20"/>
        </w:trPr>
        <w:tc>
          <w:tcPr>
            <w:tcW w:w="144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2AF9872A" w14:textId="77777777" w:rsidR="00014C1A" w:rsidRDefault="00003B0B">
            <w:r>
              <w:rPr>
                <w:b/>
                <w:bCs/>
              </w:rPr>
              <w:t>ММСП</w:t>
            </w:r>
          </w:p>
        </w:tc>
        <w:tc>
          <w:tcPr>
            <w:tcW w:w="3553" w:type="pct"/>
            <w:tcBorders>
              <w:top w:val="nil"/>
              <w:left w:val="nil"/>
              <w:bottom w:val="single" w:sz="8" w:space="0" w:color="auto"/>
              <w:right w:val="single" w:sz="8" w:space="0" w:color="auto"/>
            </w:tcBorders>
            <w:tcMar>
              <w:top w:w="0" w:type="dxa"/>
              <w:left w:w="40" w:type="dxa"/>
              <w:bottom w:w="0" w:type="dxa"/>
              <w:right w:w="40" w:type="dxa"/>
            </w:tcMar>
            <w:hideMark/>
          </w:tcPr>
          <w:p w14:paraId="41C32874" w14:textId="77777777" w:rsidR="00014C1A" w:rsidRDefault="00003B0B">
            <w:r>
              <w:t>Субъект микро, малого и среднего предпринимательства</w:t>
            </w:r>
          </w:p>
        </w:tc>
      </w:tr>
      <w:tr w:rsidR="000B0510" w14:paraId="705693FD" w14:textId="77777777" w:rsidTr="005A2E06">
        <w:trPr>
          <w:trHeight w:val="20"/>
        </w:trPr>
        <w:tc>
          <w:tcPr>
            <w:tcW w:w="1447" w:type="pct"/>
            <w:tcBorders>
              <w:top w:val="nil"/>
              <w:left w:val="single" w:sz="8" w:space="0" w:color="auto"/>
              <w:bottom w:val="single" w:sz="8" w:space="0" w:color="auto"/>
              <w:right w:val="single" w:sz="8" w:space="0" w:color="auto"/>
            </w:tcBorders>
            <w:tcMar>
              <w:top w:w="0" w:type="dxa"/>
              <w:left w:w="40" w:type="dxa"/>
              <w:bottom w:w="0" w:type="dxa"/>
              <w:right w:w="40" w:type="dxa"/>
            </w:tcMar>
          </w:tcPr>
          <w:p w14:paraId="44D8B6A7" w14:textId="580C0B35" w:rsidR="000B0510" w:rsidRDefault="000B0510">
            <w:pPr>
              <w:rPr>
                <w:b/>
                <w:bCs/>
              </w:rPr>
            </w:pPr>
            <w:r>
              <w:rPr>
                <w:b/>
                <w:bCs/>
              </w:rPr>
              <w:t>СМСП</w:t>
            </w:r>
          </w:p>
        </w:tc>
        <w:tc>
          <w:tcPr>
            <w:tcW w:w="3553" w:type="pct"/>
            <w:tcBorders>
              <w:top w:val="nil"/>
              <w:left w:val="nil"/>
              <w:bottom w:val="single" w:sz="8" w:space="0" w:color="auto"/>
              <w:right w:val="single" w:sz="8" w:space="0" w:color="auto"/>
            </w:tcBorders>
            <w:tcMar>
              <w:top w:w="0" w:type="dxa"/>
              <w:left w:w="40" w:type="dxa"/>
              <w:bottom w:w="0" w:type="dxa"/>
              <w:right w:w="40" w:type="dxa"/>
            </w:tcMar>
          </w:tcPr>
          <w:p w14:paraId="48E4106A" w14:textId="355EA0B3" w:rsidR="000B0510" w:rsidRDefault="000B0510" w:rsidP="000B0510">
            <w:r>
              <w:t>Субъект малого и среднего предпринимательства</w:t>
            </w:r>
          </w:p>
        </w:tc>
      </w:tr>
      <w:tr w:rsidR="00014C1A" w14:paraId="1C95B259" w14:textId="77777777" w:rsidTr="005A2E06">
        <w:trPr>
          <w:trHeight w:val="20"/>
        </w:trPr>
        <w:tc>
          <w:tcPr>
            <w:tcW w:w="144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023094A9" w14:textId="77777777" w:rsidR="00014C1A" w:rsidRDefault="00003B0B">
            <w:r>
              <w:rPr>
                <w:b/>
                <w:bCs/>
              </w:rPr>
              <w:t>МЦПП</w:t>
            </w:r>
          </w:p>
        </w:tc>
        <w:tc>
          <w:tcPr>
            <w:tcW w:w="3553" w:type="pct"/>
            <w:tcBorders>
              <w:top w:val="nil"/>
              <w:left w:val="nil"/>
              <w:bottom w:val="single" w:sz="8" w:space="0" w:color="auto"/>
              <w:right w:val="single" w:sz="8" w:space="0" w:color="auto"/>
            </w:tcBorders>
            <w:tcMar>
              <w:top w:w="0" w:type="dxa"/>
              <w:left w:w="40" w:type="dxa"/>
              <w:bottom w:w="0" w:type="dxa"/>
              <w:right w:w="40" w:type="dxa"/>
            </w:tcMar>
            <w:hideMark/>
          </w:tcPr>
          <w:p w14:paraId="1CC3BF7C" w14:textId="77777777" w:rsidR="00014C1A" w:rsidRDefault="00003B0B">
            <w:r>
              <w:t>Мобильных центров поддержки предпринимательства</w:t>
            </w:r>
          </w:p>
        </w:tc>
      </w:tr>
      <w:tr w:rsidR="00014C1A" w14:paraId="096E32AB" w14:textId="77777777" w:rsidTr="005A2E06">
        <w:trPr>
          <w:trHeight w:val="20"/>
        </w:trPr>
        <w:tc>
          <w:tcPr>
            <w:tcW w:w="144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41F8FDED" w14:textId="77777777" w:rsidR="00014C1A" w:rsidRDefault="00003B0B">
            <w:r>
              <w:rPr>
                <w:b/>
                <w:bCs/>
              </w:rPr>
              <w:t>СМИ</w:t>
            </w:r>
          </w:p>
        </w:tc>
        <w:tc>
          <w:tcPr>
            <w:tcW w:w="3553" w:type="pct"/>
            <w:tcBorders>
              <w:top w:val="nil"/>
              <w:left w:val="nil"/>
              <w:bottom w:val="single" w:sz="8" w:space="0" w:color="auto"/>
              <w:right w:val="single" w:sz="8" w:space="0" w:color="auto"/>
            </w:tcBorders>
            <w:tcMar>
              <w:top w:w="0" w:type="dxa"/>
              <w:left w:w="40" w:type="dxa"/>
              <w:bottom w:w="0" w:type="dxa"/>
              <w:right w:w="40" w:type="dxa"/>
            </w:tcMar>
            <w:hideMark/>
          </w:tcPr>
          <w:p w14:paraId="083236D5" w14:textId="77777777" w:rsidR="00014C1A" w:rsidRDefault="00003B0B">
            <w:r>
              <w:t>Средства массовой информации</w:t>
            </w:r>
          </w:p>
        </w:tc>
      </w:tr>
      <w:tr w:rsidR="00014C1A" w14:paraId="50D5E84D" w14:textId="77777777" w:rsidTr="005A2E06">
        <w:trPr>
          <w:trHeight w:val="20"/>
        </w:trPr>
        <w:tc>
          <w:tcPr>
            <w:tcW w:w="144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639A80D1" w14:textId="77777777" w:rsidR="00014C1A" w:rsidRDefault="00003B0B">
            <w:r>
              <w:rPr>
                <w:b/>
                <w:bCs/>
              </w:rPr>
              <w:lastRenderedPageBreak/>
              <w:t>СЧП</w:t>
            </w:r>
          </w:p>
        </w:tc>
        <w:tc>
          <w:tcPr>
            <w:tcW w:w="3553" w:type="pct"/>
            <w:tcBorders>
              <w:top w:val="nil"/>
              <w:left w:val="nil"/>
              <w:bottom w:val="single" w:sz="8" w:space="0" w:color="auto"/>
              <w:right w:val="single" w:sz="8" w:space="0" w:color="auto"/>
            </w:tcBorders>
            <w:tcMar>
              <w:top w:w="0" w:type="dxa"/>
              <w:left w:w="40" w:type="dxa"/>
              <w:bottom w:w="0" w:type="dxa"/>
              <w:right w:w="40" w:type="dxa"/>
            </w:tcMar>
            <w:hideMark/>
          </w:tcPr>
          <w:p w14:paraId="394CC2B2" w14:textId="77777777" w:rsidR="00014C1A" w:rsidRDefault="00003B0B">
            <w:r>
              <w:t>Субъект частного предпринимательства</w:t>
            </w:r>
          </w:p>
        </w:tc>
      </w:tr>
      <w:tr w:rsidR="00014C1A" w14:paraId="67C9D4A0" w14:textId="77777777" w:rsidTr="005A2E06">
        <w:trPr>
          <w:trHeight w:val="20"/>
        </w:trPr>
        <w:tc>
          <w:tcPr>
            <w:tcW w:w="1447"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393DB04F" w14:textId="77777777" w:rsidR="00014C1A" w:rsidRDefault="00003B0B">
            <w:r>
              <w:rPr>
                <w:b/>
                <w:bCs/>
              </w:rPr>
              <w:t>Фонд / Фонд «Даму»</w:t>
            </w:r>
          </w:p>
        </w:tc>
        <w:tc>
          <w:tcPr>
            <w:tcW w:w="3553" w:type="pct"/>
            <w:tcBorders>
              <w:top w:val="nil"/>
              <w:left w:val="nil"/>
              <w:bottom w:val="single" w:sz="8" w:space="0" w:color="auto"/>
              <w:right w:val="single" w:sz="8" w:space="0" w:color="auto"/>
            </w:tcBorders>
            <w:tcMar>
              <w:top w:w="0" w:type="dxa"/>
              <w:left w:w="40" w:type="dxa"/>
              <w:bottom w:w="0" w:type="dxa"/>
              <w:right w:w="40" w:type="dxa"/>
            </w:tcMar>
            <w:hideMark/>
          </w:tcPr>
          <w:p w14:paraId="0EA1947A" w14:textId="77777777" w:rsidR="00014C1A" w:rsidRDefault="00003B0B">
            <w:r>
              <w:t>АО «Фонд развития предпринимательства «Даму»</w:t>
            </w:r>
          </w:p>
        </w:tc>
      </w:tr>
      <w:tr w:rsidR="000800CB" w14:paraId="39B36971" w14:textId="77777777" w:rsidTr="005A2E06">
        <w:trPr>
          <w:trHeight w:val="20"/>
        </w:trPr>
        <w:tc>
          <w:tcPr>
            <w:tcW w:w="1447" w:type="pct"/>
            <w:tcBorders>
              <w:top w:val="nil"/>
              <w:left w:val="single" w:sz="8" w:space="0" w:color="auto"/>
              <w:bottom w:val="single" w:sz="8" w:space="0" w:color="auto"/>
              <w:right w:val="single" w:sz="8" w:space="0" w:color="auto"/>
            </w:tcBorders>
            <w:tcMar>
              <w:top w:w="0" w:type="dxa"/>
              <w:left w:w="40" w:type="dxa"/>
              <w:bottom w:w="0" w:type="dxa"/>
              <w:right w:w="40" w:type="dxa"/>
            </w:tcMar>
          </w:tcPr>
          <w:p w14:paraId="5965484C" w14:textId="34C388BB" w:rsidR="000800CB" w:rsidRPr="003D3ED2" w:rsidRDefault="000800CB" w:rsidP="000800CB">
            <w:pPr>
              <w:rPr>
                <w:b/>
                <w:bCs/>
              </w:rPr>
            </w:pPr>
            <w:r w:rsidRPr="00EC6B6B">
              <w:rPr>
                <w:b/>
                <w:bCs/>
                <w:color w:val="auto"/>
                <w:lang w:eastAsia="kk-KZ"/>
              </w:rPr>
              <w:t>ФФПСХ</w:t>
            </w:r>
            <w:r w:rsidR="003D3ED2" w:rsidRPr="003D3ED2">
              <w:rPr>
                <w:b/>
                <w:bCs/>
                <w:color w:val="auto"/>
                <w:lang w:eastAsia="kk-KZ"/>
              </w:rPr>
              <w:t xml:space="preserve"> / АО «ФФПСХ»</w:t>
            </w:r>
          </w:p>
        </w:tc>
        <w:tc>
          <w:tcPr>
            <w:tcW w:w="3553" w:type="pct"/>
            <w:tcBorders>
              <w:top w:val="nil"/>
              <w:left w:val="nil"/>
              <w:bottom w:val="single" w:sz="8" w:space="0" w:color="auto"/>
              <w:right w:val="single" w:sz="8" w:space="0" w:color="auto"/>
            </w:tcBorders>
            <w:tcMar>
              <w:top w:w="0" w:type="dxa"/>
              <w:left w:w="40" w:type="dxa"/>
              <w:bottom w:w="0" w:type="dxa"/>
              <w:right w:w="40" w:type="dxa"/>
            </w:tcMar>
          </w:tcPr>
          <w:p w14:paraId="1D935F15" w14:textId="7C87164F" w:rsidR="000800CB" w:rsidRDefault="000800CB" w:rsidP="000800CB">
            <w:r w:rsidRPr="00EC6B6B">
              <w:rPr>
                <w:color w:val="auto"/>
                <w:lang w:eastAsia="kk-KZ"/>
              </w:rPr>
              <w:t>АО «Фонд финансовой поддержки сельского хозяйства»</w:t>
            </w:r>
          </w:p>
        </w:tc>
      </w:tr>
    </w:tbl>
    <w:p w14:paraId="3A5ED8D3" w14:textId="77777777" w:rsidR="00014C1A" w:rsidRDefault="00003B0B">
      <w:pPr>
        <w:ind w:firstLine="426"/>
        <w:jc w:val="both"/>
      </w:pPr>
      <w:r>
        <w:t> </w:t>
      </w:r>
    </w:p>
    <w:p w14:paraId="63B0FCDA" w14:textId="77777777" w:rsidR="00014C1A" w:rsidRDefault="00003B0B">
      <w:pPr>
        <w:ind w:firstLine="426"/>
        <w:jc w:val="both"/>
      </w:pPr>
      <w:r>
        <w:t> </w:t>
      </w:r>
    </w:p>
    <w:p w14:paraId="17E12E1C" w14:textId="77777777" w:rsidR="00014C1A" w:rsidRDefault="00003B0B">
      <w:pPr>
        <w:ind w:firstLine="426"/>
        <w:jc w:val="both"/>
      </w:pPr>
      <w:r>
        <w:t> </w:t>
      </w:r>
    </w:p>
    <w:sectPr w:rsidR="00014C1A">
      <w:footerReference w:type="default" r:id="rId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723B1" w14:textId="77777777" w:rsidR="00E71A2C" w:rsidRDefault="00E71A2C" w:rsidP="00003B0B">
      <w:r>
        <w:separator/>
      </w:r>
    </w:p>
  </w:endnote>
  <w:endnote w:type="continuationSeparator" w:id="0">
    <w:p w14:paraId="53F1BD42" w14:textId="77777777" w:rsidR="00E71A2C" w:rsidRDefault="00E71A2C" w:rsidP="0000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183779"/>
      <w:docPartObj>
        <w:docPartGallery w:val="Page Numbers (Bottom of Page)"/>
        <w:docPartUnique/>
      </w:docPartObj>
    </w:sdtPr>
    <w:sdtEndPr/>
    <w:sdtContent>
      <w:p w14:paraId="5B113F3A" w14:textId="29816D79" w:rsidR="006A4325" w:rsidRDefault="006A4325">
        <w:pPr>
          <w:pStyle w:val="a9"/>
          <w:jc w:val="right"/>
        </w:pPr>
        <w:r>
          <w:fldChar w:fldCharType="begin"/>
        </w:r>
        <w:r>
          <w:instrText>PAGE   \* MERGEFORMAT</w:instrText>
        </w:r>
        <w:r>
          <w:fldChar w:fldCharType="separate"/>
        </w:r>
        <w:r w:rsidR="00CF1021">
          <w:rPr>
            <w:noProof/>
          </w:rPr>
          <w:t>21</w:t>
        </w:r>
        <w:r>
          <w:fldChar w:fldCharType="end"/>
        </w:r>
      </w:p>
    </w:sdtContent>
  </w:sdt>
  <w:p w14:paraId="23B49872" w14:textId="77777777" w:rsidR="006A4325" w:rsidRDefault="006A432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9C1D7" w14:textId="77777777" w:rsidR="00E71A2C" w:rsidRDefault="00E71A2C" w:rsidP="00003B0B">
      <w:r>
        <w:separator/>
      </w:r>
    </w:p>
  </w:footnote>
  <w:footnote w:type="continuationSeparator" w:id="0">
    <w:p w14:paraId="0DB66D45" w14:textId="77777777" w:rsidR="00E71A2C" w:rsidRDefault="00E71A2C" w:rsidP="00003B0B">
      <w:r>
        <w:continuationSeparator/>
      </w:r>
    </w:p>
  </w:footnote>
  <w:footnote w:id="1">
    <w:p w14:paraId="20748CB0" w14:textId="77777777" w:rsidR="006A4325" w:rsidRPr="005F5288" w:rsidRDefault="006A4325" w:rsidP="00B76E2C">
      <w:pPr>
        <w:jc w:val="both"/>
        <w:rPr>
          <w:i/>
          <w:sz w:val="20"/>
          <w:szCs w:val="20"/>
        </w:rPr>
      </w:pPr>
      <w:r w:rsidRPr="005F5288">
        <w:rPr>
          <w:rStyle w:val="af5"/>
          <w:sz w:val="18"/>
        </w:rPr>
        <w:footnoteRef/>
      </w:r>
      <w:r w:rsidRPr="005F5288">
        <w:rPr>
          <w:sz w:val="18"/>
        </w:rPr>
        <w:t xml:space="preserve"> </w:t>
      </w:r>
      <w:r w:rsidRPr="005F5288">
        <w:rPr>
          <w:i/>
          <w:sz w:val="20"/>
          <w:szCs w:val="20"/>
        </w:rPr>
        <w:t xml:space="preserve">Источник: </w:t>
      </w:r>
      <w:hyperlink r:id="rId1" w:history="1">
        <w:r w:rsidRPr="005F5288">
          <w:rPr>
            <w:rStyle w:val="a5"/>
            <w:i/>
            <w:sz w:val="20"/>
            <w:szCs w:val="20"/>
          </w:rPr>
          <w:t>https://www.sba.gov/</w:t>
        </w:r>
      </w:hyperlink>
    </w:p>
  </w:footnote>
  <w:footnote w:id="2">
    <w:p w14:paraId="3246000C" w14:textId="77777777" w:rsidR="006A4325" w:rsidRPr="005F5288" w:rsidRDefault="006A4325" w:rsidP="00B76E2C">
      <w:pPr>
        <w:tabs>
          <w:tab w:val="left" w:pos="567"/>
        </w:tabs>
        <w:jc w:val="both"/>
        <w:rPr>
          <w:i/>
          <w:sz w:val="20"/>
          <w:szCs w:val="20"/>
        </w:rPr>
      </w:pPr>
      <w:r w:rsidRPr="005F5288">
        <w:rPr>
          <w:rStyle w:val="af5"/>
          <w:i/>
          <w:sz w:val="20"/>
          <w:szCs w:val="20"/>
        </w:rPr>
        <w:footnoteRef/>
      </w:r>
      <w:r w:rsidRPr="005F5288">
        <w:rPr>
          <w:i/>
          <w:sz w:val="20"/>
          <w:szCs w:val="20"/>
        </w:rPr>
        <w:t xml:space="preserve"> Источник: </w:t>
      </w:r>
      <w:hyperlink r:id="rId2" w:history="1">
        <w:r w:rsidRPr="005F5288">
          <w:rPr>
            <w:rStyle w:val="a5"/>
            <w:i/>
            <w:sz w:val="20"/>
            <w:szCs w:val="20"/>
          </w:rPr>
          <w:t>https://www.kodit.co.kr/html/english/index.jsp</w:t>
        </w:r>
      </w:hyperlink>
    </w:p>
    <w:p w14:paraId="427CAA78" w14:textId="77777777" w:rsidR="006A4325" w:rsidRPr="005F5288" w:rsidRDefault="006A4325" w:rsidP="00B76E2C">
      <w:pPr>
        <w:pStyle w:val="af3"/>
        <w:rPr>
          <w:i/>
        </w:rPr>
      </w:pPr>
    </w:p>
  </w:footnote>
  <w:footnote w:id="3">
    <w:p w14:paraId="43A49CD4" w14:textId="77777777" w:rsidR="006A4325" w:rsidRPr="005F5288" w:rsidRDefault="006A4325" w:rsidP="00B76E2C">
      <w:pPr>
        <w:tabs>
          <w:tab w:val="left" w:pos="567"/>
        </w:tabs>
        <w:jc w:val="both"/>
        <w:rPr>
          <w:i/>
          <w:sz w:val="20"/>
          <w:szCs w:val="20"/>
        </w:rPr>
      </w:pPr>
      <w:r w:rsidRPr="005F5288">
        <w:rPr>
          <w:rStyle w:val="af5"/>
          <w:i/>
          <w:sz w:val="20"/>
          <w:szCs w:val="20"/>
        </w:rPr>
        <w:footnoteRef/>
      </w:r>
      <w:r w:rsidRPr="005F5288">
        <w:rPr>
          <w:i/>
          <w:sz w:val="20"/>
          <w:szCs w:val="20"/>
        </w:rPr>
        <w:t xml:space="preserve"> Источник: </w:t>
      </w:r>
      <w:hyperlink r:id="rId3" w:history="1">
        <w:r w:rsidRPr="005F5288">
          <w:rPr>
            <w:rStyle w:val="a5"/>
            <w:i/>
            <w:sz w:val="20"/>
            <w:szCs w:val="20"/>
          </w:rPr>
          <w:t>https://www.kosmes.or.kr/sbc/SH/EHP/SHEHP001M0.do</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4376"/>
    <w:multiLevelType w:val="hybridMultilevel"/>
    <w:tmpl w:val="6B868892"/>
    <w:lvl w:ilvl="0" w:tplc="BE00B4BC">
      <w:start w:val="1"/>
      <w:numFmt w:val="bullet"/>
      <w:lvlText w:val="•"/>
      <w:lvlJc w:val="left"/>
      <w:pPr>
        <w:tabs>
          <w:tab w:val="num" w:pos="720"/>
        </w:tabs>
        <w:ind w:left="720" w:hanging="360"/>
      </w:pPr>
      <w:rPr>
        <w:rFonts w:ascii="Arial" w:hAnsi="Arial" w:hint="default"/>
      </w:rPr>
    </w:lvl>
    <w:lvl w:ilvl="1" w:tplc="3C9A3B42" w:tentative="1">
      <w:start w:val="1"/>
      <w:numFmt w:val="bullet"/>
      <w:lvlText w:val="•"/>
      <w:lvlJc w:val="left"/>
      <w:pPr>
        <w:tabs>
          <w:tab w:val="num" w:pos="1440"/>
        </w:tabs>
        <w:ind w:left="1440" w:hanging="360"/>
      </w:pPr>
      <w:rPr>
        <w:rFonts w:ascii="Arial" w:hAnsi="Arial" w:hint="default"/>
      </w:rPr>
    </w:lvl>
    <w:lvl w:ilvl="2" w:tplc="E668A480" w:tentative="1">
      <w:start w:val="1"/>
      <w:numFmt w:val="bullet"/>
      <w:lvlText w:val="•"/>
      <w:lvlJc w:val="left"/>
      <w:pPr>
        <w:tabs>
          <w:tab w:val="num" w:pos="2160"/>
        </w:tabs>
        <w:ind w:left="2160" w:hanging="360"/>
      </w:pPr>
      <w:rPr>
        <w:rFonts w:ascii="Arial" w:hAnsi="Arial" w:hint="default"/>
      </w:rPr>
    </w:lvl>
    <w:lvl w:ilvl="3" w:tplc="2DDCB1E8" w:tentative="1">
      <w:start w:val="1"/>
      <w:numFmt w:val="bullet"/>
      <w:lvlText w:val="•"/>
      <w:lvlJc w:val="left"/>
      <w:pPr>
        <w:tabs>
          <w:tab w:val="num" w:pos="2880"/>
        </w:tabs>
        <w:ind w:left="2880" w:hanging="360"/>
      </w:pPr>
      <w:rPr>
        <w:rFonts w:ascii="Arial" w:hAnsi="Arial" w:hint="default"/>
      </w:rPr>
    </w:lvl>
    <w:lvl w:ilvl="4" w:tplc="BD5E6FA4" w:tentative="1">
      <w:start w:val="1"/>
      <w:numFmt w:val="bullet"/>
      <w:lvlText w:val="•"/>
      <w:lvlJc w:val="left"/>
      <w:pPr>
        <w:tabs>
          <w:tab w:val="num" w:pos="3600"/>
        </w:tabs>
        <w:ind w:left="3600" w:hanging="360"/>
      </w:pPr>
      <w:rPr>
        <w:rFonts w:ascii="Arial" w:hAnsi="Arial" w:hint="default"/>
      </w:rPr>
    </w:lvl>
    <w:lvl w:ilvl="5" w:tplc="4CE2D38E" w:tentative="1">
      <w:start w:val="1"/>
      <w:numFmt w:val="bullet"/>
      <w:lvlText w:val="•"/>
      <w:lvlJc w:val="left"/>
      <w:pPr>
        <w:tabs>
          <w:tab w:val="num" w:pos="4320"/>
        </w:tabs>
        <w:ind w:left="4320" w:hanging="360"/>
      </w:pPr>
      <w:rPr>
        <w:rFonts w:ascii="Arial" w:hAnsi="Arial" w:hint="default"/>
      </w:rPr>
    </w:lvl>
    <w:lvl w:ilvl="6" w:tplc="6BC27514" w:tentative="1">
      <w:start w:val="1"/>
      <w:numFmt w:val="bullet"/>
      <w:lvlText w:val="•"/>
      <w:lvlJc w:val="left"/>
      <w:pPr>
        <w:tabs>
          <w:tab w:val="num" w:pos="5040"/>
        </w:tabs>
        <w:ind w:left="5040" w:hanging="360"/>
      </w:pPr>
      <w:rPr>
        <w:rFonts w:ascii="Arial" w:hAnsi="Arial" w:hint="default"/>
      </w:rPr>
    </w:lvl>
    <w:lvl w:ilvl="7" w:tplc="EF22880A" w:tentative="1">
      <w:start w:val="1"/>
      <w:numFmt w:val="bullet"/>
      <w:lvlText w:val="•"/>
      <w:lvlJc w:val="left"/>
      <w:pPr>
        <w:tabs>
          <w:tab w:val="num" w:pos="5760"/>
        </w:tabs>
        <w:ind w:left="5760" w:hanging="360"/>
      </w:pPr>
      <w:rPr>
        <w:rFonts w:ascii="Arial" w:hAnsi="Arial" w:hint="default"/>
      </w:rPr>
    </w:lvl>
    <w:lvl w:ilvl="8" w:tplc="7B90CC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6B5F2A"/>
    <w:multiLevelType w:val="hybridMultilevel"/>
    <w:tmpl w:val="3216F72A"/>
    <w:lvl w:ilvl="0" w:tplc="BE00B4BC">
      <w:start w:val="1"/>
      <w:numFmt w:val="bullet"/>
      <w:lvlText w:val="•"/>
      <w:lvlJc w:val="left"/>
      <w:pPr>
        <w:ind w:left="1146" w:hanging="360"/>
      </w:pPr>
      <w:rPr>
        <w:rFonts w:ascii="Arial" w:hAnsi="Aria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18D30D51"/>
    <w:multiLevelType w:val="hybridMultilevel"/>
    <w:tmpl w:val="240E9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6756B7"/>
    <w:multiLevelType w:val="hybridMultilevel"/>
    <w:tmpl w:val="C4C8ACD2"/>
    <w:lvl w:ilvl="0" w:tplc="BE00B4B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090066"/>
    <w:multiLevelType w:val="hybridMultilevel"/>
    <w:tmpl w:val="D7CC2AC6"/>
    <w:lvl w:ilvl="0" w:tplc="6ECAAD9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EBA6D0A"/>
    <w:multiLevelType w:val="hybridMultilevel"/>
    <w:tmpl w:val="5D0C2FFA"/>
    <w:lvl w:ilvl="0" w:tplc="0F06C344">
      <w:start w:val="1"/>
      <w:numFmt w:val="decimal"/>
      <w:lvlText w:val="%1)"/>
      <w:lvlJc w:val="left"/>
      <w:pPr>
        <w:ind w:left="927" w:hanging="360"/>
      </w:pPr>
      <w:rPr>
        <w:rFonts w:ascii="Times New Roman" w:hAnsi="Times New Roman" w:cs="Times New Roman"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2A71211"/>
    <w:multiLevelType w:val="hybridMultilevel"/>
    <w:tmpl w:val="E6B084D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37D1AA5"/>
    <w:multiLevelType w:val="hybridMultilevel"/>
    <w:tmpl w:val="A7285D1A"/>
    <w:lvl w:ilvl="0" w:tplc="6ECAAD96">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5AA41E77"/>
    <w:multiLevelType w:val="hybridMultilevel"/>
    <w:tmpl w:val="0D26B516"/>
    <w:lvl w:ilvl="0" w:tplc="A24EF80E">
      <w:start w:val="1"/>
      <w:numFmt w:val="decimal"/>
      <w:lvlText w:val="%1)"/>
      <w:lvlJc w:val="left"/>
      <w:pPr>
        <w:ind w:left="786" w:hanging="360"/>
      </w:pPr>
      <w:rPr>
        <w:rFonts w:ascii="Times New Roman" w:hAnsi="Times New Roman" w:cs="Times New Roman" w:hint="default"/>
        <w:lang w:val="ru-RU"/>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6A313427"/>
    <w:multiLevelType w:val="hybridMultilevel"/>
    <w:tmpl w:val="070CCFD8"/>
    <w:lvl w:ilvl="0" w:tplc="BE00B4B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F085BD2"/>
    <w:multiLevelType w:val="hybridMultilevel"/>
    <w:tmpl w:val="97B211EA"/>
    <w:lvl w:ilvl="0" w:tplc="BE00B4BC">
      <w:start w:val="1"/>
      <w:numFmt w:val="bullet"/>
      <w:lvlText w:val="•"/>
      <w:lvlJc w:val="left"/>
      <w:pPr>
        <w:ind w:left="1146" w:hanging="360"/>
      </w:pPr>
      <w:rPr>
        <w:rFonts w:ascii="Arial" w:hAnsi="Aria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6F445F56"/>
    <w:multiLevelType w:val="hybridMultilevel"/>
    <w:tmpl w:val="752EE2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71E18DC"/>
    <w:multiLevelType w:val="hybridMultilevel"/>
    <w:tmpl w:val="BCA80C80"/>
    <w:lvl w:ilvl="0" w:tplc="F1E8FA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CD3728"/>
    <w:multiLevelType w:val="hybridMultilevel"/>
    <w:tmpl w:val="4CA81C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5"/>
  </w:num>
  <w:num w:numId="3">
    <w:abstractNumId w:val="7"/>
  </w:num>
  <w:num w:numId="4">
    <w:abstractNumId w:val="0"/>
  </w:num>
  <w:num w:numId="5">
    <w:abstractNumId w:val="2"/>
  </w:num>
  <w:num w:numId="6">
    <w:abstractNumId w:val="13"/>
  </w:num>
  <w:num w:numId="7">
    <w:abstractNumId w:val="9"/>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B0B"/>
    <w:rsid w:val="00001DF9"/>
    <w:rsid w:val="00002528"/>
    <w:rsid w:val="00003B0B"/>
    <w:rsid w:val="000128F4"/>
    <w:rsid w:val="00014A3B"/>
    <w:rsid w:val="00014C1A"/>
    <w:rsid w:val="00015435"/>
    <w:rsid w:val="0001681F"/>
    <w:rsid w:val="00021A61"/>
    <w:rsid w:val="00021E79"/>
    <w:rsid w:val="000414D2"/>
    <w:rsid w:val="0004313E"/>
    <w:rsid w:val="000441C4"/>
    <w:rsid w:val="00044FA5"/>
    <w:rsid w:val="00051938"/>
    <w:rsid w:val="00052A57"/>
    <w:rsid w:val="00053544"/>
    <w:rsid w:val="00067A6A"/>
    <w:rsid w:val="000716D0"/>
    <w:rsid w:val="000723CC"/>
    <w:rsid w:val="0007395C"/>
    <w:rsid w:val="000800CB"/>
    <w:rsid w:val="00081C3A"/>
    <w:rsid w:val="00083512"/>
    <w:rsid w:val="00083B23"/>
    <w:rsid w:val="0008494D"/>
    <w:rsid w:val="00085355"/>
    <w:rsid w:val="00086E5E"/>
    <w:rsid w:val="00086EEE"/>
    <w:rsid w:val="000873E9"/>
    <w:rsid w:val="0008786D"/>
    <w:rsid w:val="000924B3"/>
    <w:rsid w:val="00092A05"/>
    <w:rsid w:val="00093079"/>
    <w:rsid w:val="000931E7"/>
    <w:rsid w:val="000946D1"/>
    <w:rsid w:val="00095956"/>
    <w:rsid w:val="000971D8"/>
    <w:rsid w:val="000975DC"/>
    <w:rsid w:val="00097F8E"/>
    <w:rsid w:val="000A35F9"/>
    <w:rsid w:val="000A5EA2"/>
    <w:rsid w:val="000B0510"/>
    <w:rsid w:val="000B5762"/>
    <w:rsid w:val="000C0187"/>
    <w:rsid w:val="000C0623"/>
    <w:rsid w:val="000C2694"/>
    <w:rsid w:val="000D02AD"/>
    <w:rsid w:val="000D0E8E"/>
    <w:rsid w:val="000D3053"/>
    <w:rsid w:val="000D5A2D"/>
    <w:rsid w:val="000E0D4E"/>
    <w:rsid w:val="000E38C4"/>
    <w:rsid w:val="000E3A13"/>
    <w:rsid w:val="000F31EB"/>
    <w:rsid w:val="000F4267"/>
    <w:rsid w:val="00104300"/>
    <w:rsid w:val="00112981"/>
    <w:rsid w:val="001133FA"/>
    <w:rsid w:val="001148FF"/>
    <w:rsid w:val="00117133"/>
    <w:rsid w:val="00117CFE"/>
    <w:rsid w:val="00120CC9"/>
    <w:rsid w:val="00121944"/>
    <w:rsid w:val="00123B40"/>
    <w:rsid w:val="00124AE1"/>
    <w:rsid w:val="0013588B"/>
    <w:rsid w:val="001411DE"/>
    <w:rsid w:val="0014205A"/>
    <w:rsid w:val="001457B7"/>
    <w:rsid w:val="0015183A"/>
    <w:rsid w:val="0015209D"/>
    <w:rsid w:val="001548A6"/>
    <w:rsid w:val="0016404E"/>
    <w:rsid w:val="001662CD"/>
    <w:rsid w:val="00172DFD"/>
    <w:rsid w:val="00175063"/>
    <w:rsid w:val="00175091"/>
    <w:rsid w:val="00180A92"/>
    <w:rsid w:val="00184397"/>
    <w:rsid w:val="00192647"/>
    <w:rsid w:val="00193D10"/>
    <w:rsid w:val="00194D0F"/>
    <w:rsid w:val="00196533"/>
    <w:rsid w:val="00197E31"/>
    <w:rsid w:val="001A028A"/>
    <w:rsid w:val="001A125F"/>
    <w:rsid w:val="001A1281"/>
    <w:rsid w:val="001A7286"/>
    <w:rsid w:val="001B084D"/>
    <w:rsid w:val="001B0D86"/>
    <w:rsid w:val="001B774A"/>
    <w:rsid w:val="001B78D4"/>
    <w:rsid w:val="001C0354"/>
    <w:rsid w:val="001C1E49"/>
    <w:rsid w:val="001C3111"/>
    <w:rsid w:val="001C5C4A"/>
    <w:rsid w:val="001C7C54"/>
    <w:rsid w:val="001D24B4"/>
    <w:rsid w:val="001D35C7"/>
    <w:rsid w:val="001D3E58"/>
    <w:rsid w:val="001D4875"/>
    <w:rsid w:val="001D6760"/>
    <w:rsid w:val="001E3C79"/>
    <w:rsid w:val="001E4485"/>
    <w:rsid w:val="001E5101"/>
    <w:rsid w:val="001F04F1"/>
    <w:rsid w:val="001F1621"/>
    <w:rsid w:val="001F2038"/>
    <w:rsid w:val="001F324F"/>
    <w:rsid w:val="001F5DAB"/>
    <w:rsid w:val="001F7ED0"/>
    <w:rsid w:val="00203225"/>
    <w:rsid w:val="00206B61"/>
    <w:rsid w:val="00207BE2"/>
    <w:rsid w:val="00210EE4"/>
    <w:rsid w:val="00211649"/>
    <w:rsid w:val="002119E1"/>
    <w:rsid w:val="002161ED"/>
    <w:rsid w:val="00216239"/>
    <w:rsid w:val="00220112"/>
    <w:rsid w:val="00220DF5"/>
    <w:rsid w:val="00226D1F"/>
    <w:rsid w:val="00227D10"/>
    <w:rsid w:val="002323E1"/>
    <w:rsid w:val="0023582A"/>
    <w:rsid w:val="00236175"/>
    <w:rsid w:val="002364C4"/>
    <w:rsid w:val="002370DB"/>
    <w:rsid w:val="00240CF3"/>
    <w:rsid w:val="00244B30"/>
    <w:rsid w:val="0025100A"/>
    <w:rsid w:val="00264E6E"/>
    <w:rsid w:val="00265729"/>
    <w:rsid w:val="00266FB8"/>
    <w:rsid w:val="00267C7F"/>
    <w:rsid w:val="00267D72"/>
    <w:rsid w:val="00267FF1"/>
    <w:rsid w:val="00272830"/>
    <w:rsid w:val="0027333B"/>
    <w:rsid w:val="00280A9F"/>
    <w:rsid w:val="0028241D"/>
    <w:rsid w:val="00283EEF"/>
    <w:rsid w:val="00286AA7"/>
    <w:rsid w:val="00291968"/>
    <w:rsid w:val="00292B91"/>
    <w:rsid w:val="00293093"/>
    <w:rsid w:val="00293A63"/>
    <w:rsid w:val="002953EB"/>
    <w:rsid w:val="00296A21"/>
    <w:rsid w:val="00297117"/>
    <w:rsid w:val="002A0B32"/>
    <w:rsid w:val="002A55C1"/>
    <w:rsid w:val="002A5AB2"/>
    <w:rsid w:val="002A70DE"/>
    <w:rsid w:val="002B1307"/>
    <w:rsid w:val="002B5711"/>
    <w:rsid w:val="002C0517"/>
    <w:rsid w:val="002C051A"/>
    <w:rsid w:val="002C3E45"/>
    <w:rsid w:val="002C4753"/>
    <w:rsid w:val="002C4C12"/>
    <w:rsid w:val="002C4E15"/>
    <w:rsid w:val="002C7148"/>
    <w:rsid w:val="002D1764"/>
    <w:rsid w:val="002D2864"/>
    <w:rsid w:val="002D2DFA"/>
    <w:rsid w:val="002E0A67"/>
    <w:rsid w:val="002E2310"/>
    <w:rsid w:val="002E4C77"/>
    <w:rsid w:val="002E6851"/>
    <w:rsid w:val="002E6FC4"/>
    <w:rsid w:val="002F4257"/>
    <w:rsid w:val="002F5F65"/>
    <w:rsid w:val="002F7E9D"/>
    <w:rsid w:val="003060D8"/>
    <w:rsid w:val="003078FC"/>
    <w:rsid w:val="00307BD7"/>
    <w:rsid w:val="00311A1C"/>
    <w:rsid w:val="00312576"/>
    <w:rsid w:val="00312C0C"/>
    <w:rsid w:val="0031396B"/>
    <w:rsid w:val="00315D34"/>
    <w:rsid w:val="003163CC"/>
    <w:rsid w:val="003271FB"/>
    <w:rsid w:val="003279CE"/>
    <w:rsid w:val="003310BA"/>
    <w:rsid w:val="003319BB"/>
    <w:rsid w:val="0033439D"/>
    <w:rsid w:val="00334EDE"/>
    <w:rsid w:val="00336065"/>
    <w:rsid w:val="003448B8"/>
    <w:rsid w:val="00352B2D"/>
    <w:rsid w:val="003554E5"/>
    <w:rsid w:val="003566E6"/>
    <w:rsid w:val="00370177"/>
    <w:rsid w:val="00370913"/>
    <w:rsid w:val="00370F6C"/>
    <w:rsid w:val="00373DBB"/>
    <w:rsid w:val="00376091"/>
    <w:rsid w:val="003815E5"/>
    <w:rsid w:val="00383B87"/>
    <w:rsid w:val="0039023C"/>
    <w:rsid w:val="00394599"/>
    <w:rsid w:val="003A7400"/>
    <w:rsid w:val="003B4C21"/>
    <w:rsid w:val="003B7938"/>
    <w:rsid w:val="003B7F2E"/>
    <w:rsid w:val="003C15F2"/>
    <w:rsid w:val="003C2469"/>
    <w:rsid w:val="003C360B"/>
    <w:rsid w:val="003C3DAC"/>
    <w:rsid w:val="003C4D84"/>
    <w:rsid w:val="003C7AD4"/>
    <w:rsid w:val="003D07A7"/>
    <w:rsid w:val="003D2A18"/>
    <w:rsid w:val="003D3ED2"/>
    <w:rsid w:val="003D52C1"/>
    <w:rsid w:val="003D632C"/>
    <w:rsid w:val="003D6CE4"/>
    <w:rsid w:val="003D7892"/>
    <w:rsid w:val="003E137D"/>
    <w:rsid w:val="003E2E33"/>
    <w:rsid w:val="003E4F12"/>
    <w:rsid w:val="003F05B7"/>
    <w:rsid w:val="003F2E5C"/>
    <w:rsid w:val="003F32AF"/>
    <w:rsid w:val="003F3A46"/>
    <w:rsid w:val="003F6A9A"/>
    <w:rsid w:val="00404EF7"/>
    <w:rsid w:val="00406EAB"/>
    <w:rsid w:val="00407697"/>
    <w:rsid w:val="00414811"/>
    <w:rsid w:val="00416CE5"/>
    <w:rsid w:val="004272F8"/>
    <w:rsid w:val="00427EC7"/>
    <w:rsid w:val="00434E47"/>
    <w:rsid w:val="00437D66"/>
    <w:rsid w:val="00441E55"/>
    <w:rsid w:val="00444F80"/>
    <w:rsid w:val="004450CF"/>
    <w:rsid w:val="0044616E"/>
    <w:rsid w:val="00451A90"/>
    <w:rsid w:val="00452440"/>
    <w:rsid w:val="00453EB1"/>
    <w:rsid w:val="0046033A"/>
    <w:rsid w:val="004618E7"/>
    <w:rsid w:val="004636DF"/>
    <w:rsid w:val="00471016"/>
    <w:rsid w:val="0047385D"/>
    <w:rsid w:val="00475803"/>
    <w:rsid w:val="00481A44"/>
    <w:rsid w:val="00482A3C"/>
    <w:rsid w:val="00482B04"/>
    <w:rsid w:val="00483052"/>
    <w:rsid w:val="00483425"/>
    <w:rsid w:val="00485607"/>
    <w:rsid w:val="0048700A"/>
    <w:rsid w:val="004874CE"/>
    <w:rsid w:val="00490C0A"/>
    <w:rsid w:val="00491158"/>
    <w:rsid w:val="00491F1F"/>
    <w:rsid w:val="004938ED"/>
    <w:rsid w:val="00495BBA"/>
    <w:rsid w:val="00496152"/>
    <w:rsid w:val="004A57BC"/>
    <w:rsid w:val="004B02C8"/>
    <w:rsid w:val="004B2EDF"/>
    <w:rsid w:val="004B40E1"/>
    <w:rsid w:val="004B4623"/>
    <w:rsid w:val="004B7650"/>
    <w:rsid w:val="004C0336"/>
    <w:rsid w:val="004C2887"/>
    <w:rsid w:val="004C4629"/>
    <w:rsid w:val="004C72C2"/>
    <w:rsid w:val="004D1D79"/>
    <w:rsid w:val="004E0BAB"/>
    <w:rsid w:val="004E1687"/>
    <w:rsid w:val="004E4F70"/>
    <w:rsid w:val="004E5A1D"/>
    <w:rsid w:val="004E7655"/>
    <w:rsid w:val="004E7E96"/>
    <w:rsid w:val="0050078B"/>
    <w:rsid w:val="00500FF5"/>
    <w:rsid w:val="00503C18"/>
    <w:rsid w:val="0050658D"/>
    <w:rsid w:val="00507A95"/>
    <w:rsid w:val="00510342"/>
    <w:rsid w:val="00512DA3"/>
    <w:rsid w:val="005131C2"/>
    <w:rsid w:val="00514B00"/>
    <w:rsid w:val="00517767"/>
    <w:rsid w:val="005178D6"/>
    <w:rsid w:val="00520B7F"/>
    <w:rsid w:val="005219E8"/>
    <w:rsid w:val="0052350B"/>
    <w:rsid w:val="00525635"/>
    <w:rsid w:val="0052765C"/>
    <w:rsid w:val="00527D85"/>
    <w:rsid w:val="00530552"/>
    <w:rsid w:val="00533080"/>
    <w:rsid w:val="00542C69"/>
    <w:rsid w:val="0054327F"/>
    <w:rsid w:val="005438B2"/>
    <w:rsid w:val="00544880"/>
    <w:rsid w:val="005459E4"/>
    <w:rsid w:val="00554726"/>
    <w:rsid w:val="00555EFF"/>
    <w:rsid w:val="0055773C"/>
    <w:rsid w:val="005604E9"/>
    <w:rsid w:val="00560A79"/>
    <w:rsid w:val="00565226"/>
    <w:rsid w:val="0057148C"/>
    <w:rsid w:val="0057705B"/>
    <w:rsid w:val="005801CA"/>
    <w:rsid w:val="0058063F"/>
    <w:rsid w:val="00582030"/>
    <w:rsid w:val="00584B5B"/>
    <w:rsid w:val="00585F22"/>
    <w:rsid w:val="00586829"/>
    <w:rsid w:val="00595F51"/>
    <w:rsid w:val="005973D2"/>
    <w:rsid w:val="00597FFA"/>
    <w:rsid w:val="005A2E06"/>
    <w:rsid w:val="005A448F"/>
    <w:rsid w:val="005A5FFD"/>
    <w:rsid w:val="005A715E"/>
    <w:rsid w:val="005B00D4"/>
    <w:rsid w:val="005B4F67"/>
    <w:rsid w:val="005B6684"/>
    <w:rsid w:val="005B7F0D"/>
    <w:rsid w:val="005C043C"/>
    <w:rsid w:val="005C1B29"/>
    <w:rsid w:val="005C24FF"/>
    <w:rsid w:val="005C4079"/>
    <w:rsid w:val="005C7FED"/>
    <w:rsid w:val="005E003F"/>
    <w:rsid w:val="005E51D6"/>
    <w:rsid w:val="005F0D8D"/>
    <w:rsid w:val="005F20E1"/>
    <w:rsid w:val="005F2D33"/>
    <w:rsid w:val="005F6287"/>
    <w:rsid w:val="00602161"/>
    <w:rsid w:val="00602BF7"/>
    <w:rsid w:val="00603374"/>
    <w:rsid w:val="0060571E"/>
    <w:rsid w:val="00605E4D"/>
    <w:rsid w:val="00606072"/>
    <w:rsid w:val="00606883"/>
    <w:rsid w:val="00606E9D"/>
    <w:rsid w:val="00610656"/>
    <w:rsid w:val="00611345"/>
    <w:rsid w:val="00615EEB"/>
    <w:rsid w:val="00620748"/>
    <w:rsid w:val="00620AE4"/>
    <w:rsid w:val="00620F7F"/>
    <w:rsid w:val="00623640"/>
    <w:rsid w:val="00624000"/>
    <w:rsid w:val="006249CA"/>
    <w:rsid w:val="00625F17"/>
    <w:rsid w:val="00626580"/>
    <w:rsid w:val="00627D45"/>
    <w:rsid w:val="006318FA"/>
    <w:rsid w:val="00631C37"/>
    <w:rsid w:val="00632CA9"/>
    <w:rsid w:val="006335B6"/>
    <w:rsid w:val="00633AC7"/>
    <w:rsid w:val="0063472E"/>
    <w:rsid w:val="00643E3D"/>
    <w:rsid w:val="00656ACF"/>
    <w:rsid w:val="006577C3"/>
    <w:rsid w:val="00661BDD"/>
    <w:rsid w:val="00670BD9"/>
    <w:rsid w:val="00671BB5"/>
    <w:rsid w:val="00673CFF"/>
    <w:rsid w:val="00677C80"/>
    <w:rsid w:val="00677FEF"/>
    <w:rsid w:val="00680CA3"/>
    <w:rsid w:val="00680F79"/>
    <w:rsid w:val="00681E94"/>
    <w:rsid w:val="006869B9"/>
    <w:rsid w:val="00686EE3"/>
    <w:rsid w:val="006907B5"/>
    <w:rsid w:val="00690B01"/>
    <w:rsid w:val="00694067"/>
    <w:rsid w:val="00694C41"/>
    <w:rsid w:val="00696D3F"/>
    <w:rsid w:val="006A0DFF"/>
    <w:rsid w:val="006A4325"/>
    <w:rsid w:val="006A6097"/>
    <w:rsid w:val="006A665A"/>
    <w:rsid w:val="006A6855"/>
    <w:rsid w:val="006A7EFE"/>
    <w:rsid w:val="006B0398"/>
    <w:rsid w:val="006B214C"/>
    <w:rsid w:val="006B2661"/>
    <w:rsid w:val="006B2670"/>
    <w:rsid w:val="006B2BAE"/>
    <w:rsid w:val="006B4F8F"/>
    <w:rsid w:val="006B7FC2"/>
    <w:rsid w:val="006C0494"/>
    <w:rsid w:val="006C06A1"/>
    <w:rsid w:val="006C14AE"/>
    <w:rsid w:val="006C1973"/>
    <w:rsid w:val="006D5CFC"/>
    <w:rsid w:val="006D6754"/>
    <w:rsid w:val="006E067D"/>
    <w:rsid w:val="006E1E9C"/>
    <w:rsid w:val="006F5C9B"/>
    <w:rsid w:val="006F78E1"/>
    <w:rsid w:val="00703D0A"/>
    <w:rsid w:val="007046D9"/>
    <w:rsid w:val="007061B7"/>
    <w:rsid w:val="00707231"/>
    <w:rsid w:val="0070736F"/>
    <w:rsid w:val="0071193D"/>
    <w:rsid w:val="0071318E"/>
    <w:rsid w:val="00713601"/>
    <w:rsid w:val="007147D2"/>
    <w:rsid w:val="007147E2"/>
    <w:rsid w:val="0071536D"/>
    <w:rsid w:val="00716819"/>
    <w:rsid w:val="00716842"/>
    <w:rsid w:val="00720685"/>
    <w:rsid w:val="00720ECB"/>
    <w:rsid w:val="00725258"/>
    <w:rsid w:val="00725C86"/>
    <w:rsid w:val="00725CAC"/>
    <w:rsid w:val="007331F9"/>
    <w:rsid w:val="00734E6C"/>
    <w:rsid w:val="00740084"/>
    <w:rsid w:val="00741401"/>
    <w:rsid w:val="00745FFA"/>
    <w:rsid w:val="007478A0"/>
    <w:rsid w:val="007502D8"/>
    <w:rsid w:val="0075077F"/>
    <w:rsid w:val="00763528"/>
    <w:rsid w:val="0076425B"/>
    <w:rsid w:val="007645B8"/>
    <w:rsid w:val="007747F2"/>
    <w:rsid w:val="00775420"/>
    <w:rsid w:val="00791956"/>
    <w:rsid w:val="007924E3"/>
    <w:rsid w:val="00795C50"/>
    <w:rsid w:val="00797E68"/>
    <w:rsid w:val="007A1E0D"/>
    <w:rsid w:val="007A2D12"/>
    <w:rsid w:val="007A303B"/>
    <w:rsid w:val="007A4A82"/>
    <w:rsid w:val="007A6803"/>
    <w:rsid w:val="007B71E0"/>
    <w:rsid w:val="007C16F7"/>
    <w:rsid w:val="007C286C"/>
    <w:rsid w:val="007C2F64"/>
    <w:rsid w:val="007C3ECF"/>
    <w:rsid w:val="007C6528"/>
    <w:rsid w:val="007C6ED0"/>
    <w:rsid w:val="007D139E"/>
    <w:rsid w:val="007D2DC2"/>
    <w:rsid w:val="007D5E66"/>
    <w:rsid w:val="007E107C"/>
    <w:rsid w:val="007F08F4"/>
    <w:rsid w:val="00801046"/>
    <w:rsid w:val="00806F29"/>
    <w:rsid w:val="008108ED"/>
    <w:rsid w:val="00811E07"/>
    <w:rsid w:val="00812A9A"/>
    <w:rsid w:val="00812EBC"/>
    <w:rsid w:val="008133FB"/>
    <w:rsid w:val="0081561C"/>
    <w:rsid w:val="00815761"/>
    <w:rsid w:val="008178D1"/>
    <w:rsid w:val="00823808"/>
    <w:rsid w:val="00823C05"/>
    <w:rsid w:val="00835802"/>
    <w:rsid w:val="00843EE3"/>
    <w:rsid w:val="008459E0"/>
    <w:rsid w:val="0085243F"/>
    <w:rsid w:val="00852959"/>
    <w:rsid w:val="00854E29"/>
    <w:rsid w:val="00861860"/>
    <w:rsid w:val="00861EF3"/>
    <w:rsid w:val="00863260"/>
    <w:rsid w:val="00864430"/>
    <w:rsid w:val="008677C9"/>
    <w:rsid w:val="00871FC9"/>
    <w:rsid w:val="00872B68"/>
    <w:rsid w:val="00874D07"/>
    <w:rsid w:val="00875339"/>
    <w:rsid w:val="00876FA8"/>
    <w:rsid w:val="00880A6D"/>
    <w:rsid w:val="008817A9"/>
    <w:rsid w:val="00882A0E"/>
    <w:rsid w:val="00886BA9"/>
    <w:rsid w:val="0089166D"/>
    <w:rsid w:val="00892705"/>
    <w:rsid w:val="00894CCC"/>
    <w:rsid w:val="008A0CA5"/>
    <w:rsid w:val="008A681C"/>
    <w:rsid w:val="008B00C0"/>
    <w:rsid w:val="008B45EF"/>
    <w:rsid w:val="008B6014"/>
    <w:rsid w:val="008B7FB9"/>
    <w:rsid w:val="008C0EB7"/>
    <w:rsid w:val="008C1F17"/>
    <w:rsid w:val="008C2B15"/>
    <w:rsid w:val="008C33C8"/>
    <w:rsid w:val="008C49A3"/>
    <w:rsid w:val="008C612A"/>
    <w:rsid w:val="008C7D46"/>
    <w:rsid w:val="008D2675"/>
    <w:rsid w:val="008D44D9"/>
    <w:rsid w:val="008D596B"/>
    <w:rsid w:val="008D6419"/>
    <w:rsid w:val="008E3307"/>
    <w:rsid w:val="008E3E38"/>
    <w:rsid w:val="008E5635"/>
    <w:rsid w:val="008E5FFC"/>
    <w:rsid w:val="008F0818"/>
    <w:rsid w:val="008F13C0"/>
    <w:rsid w:val="008F1DB8"/>
    <w:rsid w:val="008F474C"/>
    <w:rsid w:val="008F511D"/>
    <w:rsid w:val="008F7688"/>
    <w:rsid w:val="00900FEC"/>
    <w:rsid w:val="00902429"/>
    <w:rsid w:val="0090758F"/>
    <w:rsid w:val="00910F6D"/>
    <w:rsid w:val="00912448"/>
    <w:rsid w:val="00912A8C"/>
    <w:rsid w:val="0092357D"/>
    <w:rsid w:val="00925439"/>
    <w:rsid w:val="00927FAC"/>
    <w:rsid w:val="00927FD0"/>
    <w:rsid w:val="009344B1"/>
    <w:rsid w:val="0094182F"/>
    <w:rsid w:val="00942363"/>
    <w:rsid w:val="00942EF2"/>
    <w:rsid w:val="00943345"/>
    <w:rsid w:val="009461F4"/>
    <w:rsid w:val="00946F4A"/>
    <w:rsid w:val="00947321"/>
    <w:rsid w:val="009533C0"/>
    <w:rsid w:val="00954D71"/>
    <w:rsid w:val="00956AE7"/>
    <w:rsid w:val="00957FF8"/>
    <w:rsid w:val="0096072C"/>
    <w:rsid w:val="00972B13"/>
    <w:rsid w:val="00972BFC"/>
    <w:rsid w:val="0097472E"/>
    <w:rsid w:val="009750D7"/>
    <w:rsid w:val="00976A64"/>
    <w:rsid w:val="00981153"/>
    <w:rsid w:val="00982FE8"/>
    <w:rsid w:val="0098403F"/>
    <w:rsid w:val="009855BE"/>
    <w:rsid w:val="00985667"/>
    <w:rsid w:val="0098644D"/>
    <w:rsid w:val="009875AB"/>
    <w:rsid w:val="009904B1"/>
    <w:rsid w:val="00991C59"/>
    <w:rsid w:val="00993D03"/>
    <w:rsid w:val="00996CE9"/>
    <w:rsid w:val="009A09CD"/>
    <w:rsid w:val="009A3527"/>
    <w:rsid w:val="009A4DC9"/>
    <w:rsid w:val="009A6EBE"/>
    <w:rsid w:val="009A6F56"/>
    <w:rsid w:val="009B00E1"/>
    <w:rsid w:val="009B1503"/>
    <w:rsid w:val="009B4828"/>
    <w:rsid w:val="009B7740"/>
    <w:rsid w:val="009C262D"/>
    <w:rsid w:val="009C7B66"/>
    <w:rsid w:val="009D0163"/>
    <w:rsid w:val="009D3190"/>
    <w:rsid w:val="009D3F49"/>
    <w:rsid w:val="009D4333"/>
    <w:rsid w:val="009E16AE"/>
    <w:rsid w:val="009F06EB"/>
    <w:rsid w:val="009F46B4"/>
    <w:rsid w:val="00A0072E"/>
    <w:rsid w:val="00A02BE3"/>
    <w:rsid w:val="00A11120"/>
    <w:rsid w:val="00A16DDC"/>
    <w:rsid w:val="00A17503"/>
    <w:rsid w:val="00A21508"/>
    <w:rsid w:val="00A2251D"/>
    <w:rsid w:val="00A231B8"/>
    <w:rsid w:val="00A258EC"/>
    <w:rsid w:val="00A26004"/>
    <w:rsid w:val="00A265DC"/>
    <w:rsid w:val="00A3076A"/>
    <w:rsid w:val="00A31613"/>
    <w:rsid w:val="00A3655F"/>
    <w:rsid w:val="00A36982"/>
    <w:rsid w:val="00A47FC8"/>
    <w:rsid w:val="00A50FCB"/>
    <w:rsid w:val="00A55897"/>
    <w:rsid w:val="00A55F61"/>
    <w:rsid w:val="00A60D1D"/>
    <w:rsid w:val="00A621C2"/>
    <w:rsid w:val="00A629D3"/>
    <w:rsid w:val="00A64420"/>
    <w:rsid w:val="00A6641F"/>
    <w:rsid w:val="00A66772"/>
    <w:rsid w:val="00A67908"/>
    <w:rsid w:val="00A710DC"/>
    <w:rsid w:val="00A75B6A"/>
    <w:rsid w:val="00A806C3"/>
    <w:rsid w:val="00A81FC8"/>
    <w:rsid w:val="00A822C0"/>
    <w:rsid w:val="00A82F49"/>
    <w:rsid w:val="00A849B3"/>
    <w:rsid w:val="00A85420"/>
    <w:rsid w:val="00A867F1"/>
    <w:rsid w:val="00A901D7"/>
    <w:rsid w:val="00A90B54"/>
    <w:rsid w:val="00A9236C"/>
    <w:rsid w:val="00A9278C"/>
    <w:rsid w:val="00A956AB"/>
    <w:rsid w:val="00A956D2"/>
    <w:rsid w:val="00A96D7C"/>
    <w:rsid w:val="00AA1EB9"/>
    <w:rsid w:val="00AA3F4E"/>
    <w:rsid w:val="00AB0098"/>
    <w:rsid w:val="00AB2232"/>
    <w:rsid w:val="00AB4654"/>
    <w:rsid w:val="00AB60F7"/>
    <w:rsid w:val="00AB6CF6"/>
    <w:rsid w:val="00AB6FFE"/>
    <w:rsid w:val="00AC6970"/>
    <w:rsid w:val="00AC78D9"/>
    <w:rsid w:val="00AD6D38"/>
    <w:rsid w:val="00AD7A2F"/>
    <w:rsid w:val="00AE3DF3"/>
    <w:rsid w:val="00AE4BED"/>
    <w:rsid w:val="00AE6043"/>
    <w:rsid w:val="00AF14BB"/>
    <w:rsid w:val="00AF34AC"/>
    <w:rsid w:val="00AF44A2"/>
    <w:rsid w:val="00AF5F9E"/>
    <w:rsid w:val="00B00FC8"/>
    <w:rsid w:val="00B11605"/>
    <w:rsid w:val="00B1295B"/>
    <w:rsid w:val="00B12E87"/>
    <w:rsid w:val="00B165EE"/>
    <w:rsid w:val="00B20518"/>
    <w:rsid w:val="00B24204"/>
    <w:rsid w:val="00B24F1C"/>
    <w:rsid w:val="00B26AB5"/>
    <w:rsid w:val="00B36A1A"/>
    <w:rsid w:val="00B37271"/>
    <w:rsid w:val="00B42FB8"/>
    <w:rsid w:val="00B47657"/>
    <w:rsid w:val="00B50534"/>
    <w:rsid w:val="00B51457"/>
    <w:rsid w:val="00B51B35"/>
    <w:rsid w:val="00B5261E"/>
    <w:rsid w:val="00B56223"/>
    <w:rsid w:val="00B5768A"/>
    <w:rsid w:val="00B57A92"/>
    <w:rsid w:val="00B646B3"/>
    <w:rsid w:val="00B764D5"/>
    <w:rsid w:val="00B76E2C"/>
    <w:rsid w:val="00B85462"/>
    <w:rsid w:val="00B9260D"/>
    <w:rsid w:val="00B94ACF"/>
    <w:rsid w:val="00BA3D8C"/>
    <w:rsid w:val="00BA5068"/>
    <w:rsid w:val="00BA6B42"/>
    <w:rsid w:val="00BB2F46"/>
    <w:rsid w:val="00BB3F12"/>
    <w:rsid w:val="00BB461F"/>
    <w:rsid w:val="00BC2838"/>
    <w:rsid w:val="00BC3427"/>
    <w:rsid w:val="00BC408C"/>
    <w:rsid w:val="00BD4A2F"/>
    <w:rsid w:val="00BD5079"/>
    <w:rsid w:val="00BD5954"/>
    <w:rsid w:val="00BE7443"/>
    <w:rsid w:val="00BF279A"/>
    <w:rsid w:val="00BF374D"/>
    <w:rsid w:val="00BF5522"/>
    <w:rsid w:val="00BF6680"/>
    <w:rsid w:val="00C0420E"/>
    <w:rsid w:val="00C053A1"/>
    <w:rsid w:val="00C05665"/>
    <w:rsid w:val="00C07B4A"/>
    <w:rsid w:val="00C10FEF"/>
    <w:rsid w:val="00C11BCE"/>
    <w:rsid w:val="00C12B90"/>
    <w:rsid w:val="00C12BD9"/>
    <w:rsid w:val="00C144E8"/>
    <w:rsid w:val="00C16AA3"/>
    <w:rsid w:val="00C202F9"/>
    <w:rsid w:val="00C2357C"/>
    <w:rsid w:val="00C23EFA"/>
    <w:rsid w:val="00C26CA7"/>
    <w:rsid w:val="00C2722C"/>
    <w:rsid w:val="00C314E3"/>
    <w:rsid w:val="00C32E10"/>
    <w:rsid w:val="00C33C63"/>
    <w:rsid w:val="00C34580"/>
    <w:rsid w:val="00C359D4"/>
    <w:rsid w:val="00C3638C"/>
    <w:rsid w:val="00C36D35"/>
    <w:rsid w:val="00C40379"/>
    <w:rsid w:val="00C41E1B"/>
    <w:rsid w:val="00C4542E"/>
    <w:rsid w:val="00C46508"/>
    <w:rsid w:val="00C47B40"/>
    <w:rsid w:val="00C5146D"/>
    <w:rsid w:val="00C54888"/>
    <w:rsid w:val="00C54972"/>
    <w:rsid w:val="00C55937"/>
    <w:rsid w:val="00C56214"/>
    <w:rsid w:val="00C6079F"/>
    <w:rsid w:val="00C663EA"/>
    <w:rsid w:val="00C72563"/>
    <w:rsid w:val="00C728C2"/>
    <w:rsid w:val="00C72AEB"/>
    <w:rsid w:val="00C73313"/>
    <w:rsid w:val="00C73E67"/>
    <w:rsid w:val="00C81757"/>
    <w:rsid w:val="00C825B1"/>
    <w:rsid w:val="00C87006"/>
    <w:rsid w:val="00C90114"/>
    <w:rsid w:val="00C90D60"/>
    <w:rsid w:val="00C95D90"/>
    <w:rsid w:val="00C95EDB"/>
    <w:rsid w:val="00C9663D"/>
    <w:rsid w:val="00CA1331"/>
    <w:rsid w:val="00CA16F2"/>
    <w:rsid w:val="00CA4F9D"/>
    <w:rsid w:val="00CA5747"/>
    <w:rsid w:val="00CA5909"/>
    <w:rsid w:val="00CB2C8C"/>
    <w:rsid w:val="00CB34E2"/>
    <w:rsid w:val="00CB6813"/>
    <w:rsid w:val="00CC0F5D"/>
    <w:rsid w:val="00CD38C0"/>
    <w:rsid w:val="00CE58DF"/>
    <w:rsid w:val="00CF07B6"/>
    <w:rsid w:val="00CF1021"/>
    <w:rsid w:val="00CF2C10"/>
    <w:rsid w:val="00CF2C6A"/>
    <w:rsid w:val="00CF3A74"/>
    <w:rsid w:val="00D0718D"/>
    <w:rsid w:val="00D0752D"/>
    <w:rsid w:val="00D07A2F"/>
    <w:rsid w:val="00D07D15"/>
    <w:rsid w:val="00D11D9C"/>
    <w:rsid w:val="00D16744"/>
    <w:rsid w:val="00D2023C"/>
    <w:rsid w:val="00D20D56"/>
    <w:rsid w:val="00D21A0D"/>
    <w:rsid w:val="00D22943"/>
    <w:rsid w:val="00D22D3E"/>
    <w:rsid w:val="00D25A77"/>
    <w:rsid w:val="00D26938"/>
    <w:rsid w:val="00D30A2A"/>
    <w:rsid w:val="00D315E4"/>
    <w:rsid w:val="00D32204"/>
    <w:rsid w:val="00D32A9E"/>
    <w:rsid w:val="00D423C8"/>
    <w:rsid w:val="00D47955"/>
    <w:rsid w:val="00D51F97"/>
    <w:rsid w:val="00D53691"/>
    <w:rsid w:val="00D54492"/>
    <w:rsid w:val="00D5466A"/>
    <w:rsid w:val="00D54992"/>
    <w:rsid w:val="00D56659"/>
    <w:rsid w:val="00D6162C"/>
    <w:rsid w:val="00D629F4"/>
    <w:rsid w:val="00D632FC"/>
    <w:rsid w:val="00D639E2"/>
    <w:rsid w:val="00D70EFE"/>
    <w:rsid w:val="00D74602"/>
    <w:rsid w:val="00D8054E"/>
    <w:rsid w:val="00D809E7"/>
    <w:rsid w:val="00D831E7"/>
    <w:rsid w:val="00D962C0"/>
    <w:rsid w:val="00D97A09"/>
    <w:rsid w:val="00DA1EE8"/>
    <w:rsid w:val="00DA51D4"/>
    <w:rsid w:val="00DA57CA"/>
    <w:rsid w:val="00DA675F"/>
    <w:rsid w:val="00DB1C79"/>
    <w:rsid w:val="00DB2BED"/>
    <w:rsid w:val="00DB4864"/>
    <w:rsid w:val="00DB5899"/>
    <w:rsid w:val="00DB7D94"/>
    <w:rsid w:val="00DC014C"/>
    <w:rsid w:val="00DC3BE5"/>
    <w:rsid w:val="00DC53E5"/>
    <w:rsid w:val="00DD1876"/>
    <w:rsid w:val="00DD3B6E"/>
    <w:rsid w:val="00DD64CE"/>
    <w:rsid w:val="00DD6D4A"/>
    <w:rsid w:val="00DE0B59"/>
    <w:rsid w:val="00DE6087"/>
    <w:rsid w:val="00DE6E1A"/>
    <w:rsid w:val="00DF02E7"/>
    <w:rsid w:val="00DF0CE1"/>
    <w:rsid w:val="00DF49A9"/>
    <w:rsid w:val="00DF58D7"/>
    <w:rsid w:val="00DF598C"/>
    <w:rsid w:val="00DF6C47"/>
    <w:rsid w:val="00E00E92"/>
    <w:rsid w:val="00E02F2F"/>
    <w:rsid w:val="00E14551"/>
    <w:rsid w:val="00E15DC8"/>
    <w:rsid w:val="00E21218"/>
    <w:rsid w:val="00E27470"/>
    <w:rsid w:val="00E27CFA"/>
    <w:rsid w:val="00E30776"/>
    <w:rsid w:val="00E341E4"/>
    <w:rsid w:val="00E415CD"/>
    <w:rsid w:val="00E4327A"/>
    <w:rsid w:val="00E43BA2"/>
    <w:rsid w:val="00E451B2"/>
    <w:rsid w:val="00E455A7"/>
    <w:rsid w:val="00E47F0A"/>
    <w:rsid w:val="00E523DB"/>
    <w:rsid w:val="00E53558"/>
    <w:rsid w:val="00E53FE6"/>
    <w:rsid w:val="00E5587E"/>
    <w:rsid w:val="00E575F6"/>
    <w:rsid w:val="00E57937"/>
    <w:rsid w:val="00E61330"/>
    <w:rsid w:val="00E621B8"/>
    <w:rsid w:val="00E621C6"/>
    <w:rsid w:val="00E71A2C"/>
    <w:rsid w:val="00E7435D"/>
    <w:rsid w:val="00E77626"/>
    <w:rsid w:val="00E77821"/>
    <w:rsid w:val="00E77DF4"/>
    <w:rsid w:val="00E80C70"/>
    <w:rsid w:val="00E821F8"/>
    <w:rsid w:val="00E83316"/>
    <w:rsid w:val="00E84F4E"/>
    <w:rsid w:val="00E8657C"/>
    <w:rsid w:val="00E87124"/>
    <w:rsid w:val="00E93471"/>
    <w:rsid w:val="00E96ECC"/>
    <w:rsid w:val="00EA1CE4"/>
    <w:rsid w:val="00EA3B98"/>
    <w:rsid w:val="00EA7E16"/>
    <w:rsid w:val="00EB14F9"/>
    <w:rsid w:val="00EB724C"/>
    <w:rsid w:val="00EB754B"/>
    <w:rsid w:val="00EC103C"/>
    <w:rsid w:val="00EC15DA"/>
    <w:rsid w:val="00EC34E5"/>
    <w:rsid w:val="00EC4579"/>
    <w:rsid w:val="00EC589D"/>
    <w:rsid w:val="00EC6B6B"/>
    <w:rsid w:val="00ED1665"/>
    <w:rsid w:val="00EE0C9D"/>
    <w:rsid w:val="00EE1725"/>
    <w:rsid w:val="00EE205F"/>
    <w:rsid w:val="00EE3EC7"/>
    <w:rsid w:val="00EF46FF"/>
    <w:rsid w:val="00EF4FA1"/>
    <w:rsid w:val="00EF7811"/>
    <w:rsid w:val="00EF7A70"/>
    <w:rsid w:val="00F021BD"/>
    <w:rsid w:val="00F02FDB"/>
    <w:rsid w:val="00F03BC5"/>
    <w:rsid w:val="00F105DB"/>
    <w:rsid w:val="00F136CE"/>
    <w:rsid w:val="00F161E0"/>
    <w:rsid w:val="00F17A79"/>
    <w:rsid w:val="00F21C45"/>
    <w:rsid w:val="00F25B82"/>
    <w:rsid w:val="00F27F2A"/>
    <w:rsid w:val="00F30CFF"/>
    <w:rsid w:val="00F315C1"/>
    <w:rsid w:val="00F31DDF"/>
    <w:rsid w:val="00F33C27"/>
    <w:rsid w:val="00F35423"/>
    <w:rsid w:val="00F45621"/>
    <w:rsid w:val="00F5010C"/>
    <w:rsid w:val="00F50327"/>
    <w:rsid w:val="00F506A2"/>
    <w:rsid w:val="00F52C23"/>
    <w:rsid w:val="00F54DE7"/>
    <w:rsid w:val="00F571E0"/>
    <w:rsid w:val="00F60C56"/>
    <w:rsid w:val="00F658C3"/>
    <w:rsid w:val="00F65EDC"/>
    <w:rsid w:val="00F72987"/>
    <w:rsid w:val="00F738D1"/>
    <w:rsid w:val="00F7490D"/>
    <w:rsid w:val="00F74E01"/>
    <w:rsid w:val="00F75B35"/>
    <w:rsid w:val="00F76661"/>
    <w:rsid w:val="00F77052"/>
    <w:rsid w:val="00F86428"/>
    <w:rsid w:val="00F86996"/>
    <w:rsid w:val="00F874E3"/>
    <w:rsid w:val="00F9113E"/>
    <w:rsid w:val="00F91A1C"/>
    <w:rsid w:val="00F93CEC"/>
    <w:rsid w:val="00F97EF4"/>
    <w:rsid w:val="00FA1C49"/>
    <w:rsid w:val="00FA5D21"/>
    <w:rsid w:val="00FB1D81"/>
    <w:rsid w:val="00FB1F56"/>
    <w:rsid w:val="00FB29AB"/>
    <w:rsid w:val="00FC202B"/>
    <w:rsid w:val="00FC2122"/>
    <w:rsid w:val="00FC3412"/>
    <w:rsid w:val="00FC4273"/>
    <w:rsid w:val="00FC6561"/>
    <w:rsid w:val="00FC7448"/>
    <w:rsid w:val="00FD1694"/>
    <w:rsid w:val="00FD2B40"/>
    <w:rsid w:val="00FD7120"/>
    <w:rsid w:val="00FD7F57"/>
    <w:rsid w:val="00FE508C"/>
    <w:rsid w:val="00FE61BB"/>
    <w:rsid w:val="00FF0F59"/>
    <w:rsid w:val="00FF343B"/>
    <w:rsid w:val="00FF3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B6B4C"/>
  <w15:chartTrackingRefBased/>
  <w15:docId w15:val="{12C78389-7A70-4E66-B10F-A759CF8C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color w:val="auto"/>
    </w:rPr>
  </w:style>
  <w:style w:type="paragraph" w:styleId="a3">
    <w:name w:val="Balloon Text"/>
    <w:basedOn w:val="a"/>
    <w:link w:val="a4"/>
    <w:uiPriority w:val="99"/>
    <w:semiHidden/>
    <w:unhideWhenUsed/>
    <w:rPr>
      <w:rFonts w:ascii="Segoe UI" w:hAnsi="Segoe UI" w:cs="Segoe UI"/>
      <w:sz w:val="18"/>
      <w:szCs w:val="18"/>
    </w:rPr>
  </w:style>
  <w:style w:type="character" w:customStyle="1" w:styleId="a4">
    <w:name w:val="Текст выноски Знак"/>
    <w:basedOn w:val="a0"/>
    <w:link w:val="a3"/>
    <w:uiPriority w:val="99"/>
    <w:semiHidden/>
    <w:rPr>
      <w:rFonts w:ascii="Tahoma" w:hAnsi="Tahoma" w:cs="Tahoma" w:hint="default"/>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styleId="a5">
    <w:name w:val="Hyperlink"/>
    <w:basedOn w:val="a0"/>
    <w:uiPriority w:val="99"/>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003B0B"/>
    <w:pPr>
      <w:tabs>
        <w:tab w:val="center" w:pos="4677"/>
        <w:tab w:val="right" w:pos="9355"/>
      </w:tabs>
    </w:pPr>
  </w:style>
  <w:style w:type="character" w:customStyle="1" w:styleId="a8">
    <w:name w:val="Верхний колонтитул Знак"/>
    <w:basedOn w:val="a0"/>
    <w:link w:val="a7"/>
    <w:uiPriority w:val="99"/>
    <w:rsid w:val="00003B0B"/>
    <w:rPr>
      <w:rFonts w:eastAsiaTheme="minorEastAsia"/>
      <w:color w:val="000000"/>
      <w:sz w:val="24"/>
      <w:szCs w:val="24"/>
    </w:rPr>
  </w:style>
  <w:style w:type="paragraph" w:styleId="a9">
    <w:name w:val="footer"/>
    <w:basedOn w:val="a"/>
    <w:link w:val="aa"/>
    <w:uiPriority w:val="99"/>
    <w:unhideWhenUsed/>
    <w:rsid w:val="00003B0B"/>
    <w:pPr>
      <w:tabs>
        <w:tab w:val="center" w:pos="4677"/>
        <w:tab w:val="right" w:pos="9355"/>
      </w:tabs>
    </w:pPr>
  </w:style>
  <w:style w:type="character" w:customStyle="1" w:styleId="aa">
    <w:name w:val="Нижний колонтитул Знак"/>
    <w:basedOn w:val="a0"/>
    <w:link w:val="a9"/>
    <w:uiPriority w:val="99"/>
    <w:rsid w:val="00003B0B"/>
    <w:rPr>
      <w:rFonts w:eastAsiaTheme="minorEastAsia"/>
      <w:color w:val="000000"/>
      <w:sz w:val="24"/>
      <w:szCs w:val="24"/>
    </w:rPr>
  </w:style>
  <w:style w:type="character" w:customStyle="1" w:styleId="s0">
    <w:name w:val="s0"/>
    <w:basedOn w:val="a0"/>
    <w:rsid w:val="00DF0CE1"/>
    <w:rPr>
      <w:rFonts w:ascii="Times New Roman" w:hAnsi="Times New Roman" w:cs="Times New Roman" w:hint="default"/>
      <w:b w:val="0"/>
      <w:bCs w:val="0"/>
      <w:i w:val="0"/>
      <w:iCs w:val="0"/>
      <w:color w:val="000000"/>
    </w:rPr>
  </w:style>
  <w:style w:type="paragraph" w:customStyle="1" w:styleId="pj">
    <w:name w:val="pj"/>
    <w:basedOn w:val="a"/>
    <w:rsid w:val="001D24B4"/>
    <w:pPr>
      <w:ind w:firstLine="400"/>
      <w:jc w:val="both"/>
    </w:pPr>
  </w:style>
  <w:style w:type="character" w:styleId="ab">
    <w:name w:val="annotation reference"/>
    <w:basedOn w:val="a0"/>
    <w:uiPriority w:val="99"/>
    <w:semiHidden/>
    <w:unhideWhenUsed/>
    <w:rsid w:val="00626580"/>
    <w:rPr>
      <w:sz w:val="16"/>
      <w:szCs w:val="16"/>
    </w:rPr>
  </w:style>
  <w:style w:type="paragraph" w:styleId="ac">
    <w:name w:val="annotation text"/>
    <w:basedOn w:val="a"/>
    <w:link w:val="ad"/>
    <w:uiPriority w:val="99"/>
    <w:semiHidden/>
    <w:unhideWhenUsed/>
    <w:rsid w:val="00626580"/>
    <w:rPr>
      <w:sz w:val="20"/>
      <w:szCs w:val="20"/>
    </w:rPr>
  </w:style>
  <w:style w:type="character" w:customStyle="1" w:styleId="ad">
    <w:name w:val="Текст примечания Знак"/>
    <w:basedOn w:val="a0"/>
    <w:link w:val="ac"/>
    <w:uiPriority w:val="99"/>
    <w:semiHidden/>
    <w:rsid w:val="00626580"/>
    <w:rPr>
      <w:rFonts w:eastAsiaTheme="minorEastAsia"/>
      <w:color w:val="000000"/>
    </w:rPr>
  </w:style>
  <w:style w:type="paragraph" w:styleId="ae">
    <w:name w:val="annotation subject"/>
    <w:basedOn w:val="ac"/>
    <w:next w:val="ac"/>
    <w:link w:val="af"/>
    <w:uiPriority w:val="99"/>
    <w:semiHidden/>
    <w:unhideWhenUsed/>
    <w:rsid w:val="00626580"/>
    <w:rPr>
      <w:b/>
      <w:bCs/>
    </w:rPr>
  </w:style>
  <w:style w:type="character" w:customStyle="1" w:styleId="af">
    <w:name w:val="Тема примечания Знак"/>
    <w:basedOn w:val="ad"/>
    <w:link w:val="ae"/>
    <w:uiPriority w:val="99"/>
    <w:semiHidden/>
    <w:rsid w:val="00626580"/>
    <w:rPr>
      <w:rFonts w:eastAsiaTheme="minorEastAsia"/>
      <w:b/>
      <w:bCs/>
      <w:color w:val="000000"/>
    </w:rPr>
  </w:style>
  <w:style w:type="paragraph" w:styleId="af0">
    <w:name w:val="Revision"/>
    <w:hidden/>
    <w:uiPriority w:val="99"/>
    <w:semiHidden/>
    <w:rsid w:val="00626580"/>
    <w:rPr>
      <w:rFonts w:eastAsiaTheme="minorEastAsia"/>
      <w:color w:val="000000"/>
      <w:sz w:val="24"/>
      <w:szCs w:val="24"/>
    </w:rPr>
  </w:style>
  <w:style w:type="paragraph" w:styleId="af1">
    <w:name w:val="List Paragraph"/>
    <w:aliases w:val="Абзац,маркированный,Elenco Normale,Абзац с отступом,strich,2nd Tier Header,Абзац списка2,List Paragraph,Heading1,Colorful List - Accent 11,Colorful List - Accent 11CxSpLast,H1-1,AC List 01,Bullet Points,без абзаца,ПАРАГРАФ,Абзац списка1"/>
    <w:basedOn w:val="a"/>
    <w:link w:val="af2"/>
    <w:uiPriority w:val="34"/>
    <w:qFormat/>
    <w:rsid w:val="005F0D8D"/>
    <w:pPr>
      <w:spacing w:after="200" w:line="276" w:lineRule="auto"/>
      <w:ind w:left="720"/>
      <w:contextualSpacing/>
    </w:pPr>
    <w:rPr>
      <w:rFonts w:ascii="Calibri" w:eastAsia="Calibri" w:hAnsi="Calibri"/>
      <w:color w:val="auto"/>
      <w:sz w:val="22"/>
      <w:szCs w:val="22"/>
      <w:lang w:val="kk-KZ" w:eastAsia="en-US"/>
    </w:rPr>
  </w:style>
  <w:style w:type="character" w:customStyle="1" w:styleId="af2">
    <w:name w:val="Абзац списка Знак"/>
    <w:aliases w:val="Абзац Знак,маркированный Знак,Elenco Normale Знак,Абзац с отступом Знак,strich Знак,2nd Tier Header Знак,Абзац списка2 Знак,List Paragraph Знак,Heading1 Знак,Colorful List - Accent 11 Знак,Colorful List - Accent 11CxSpLast Знак"/>
    <w:link w:val="af1"/>
    <w:uiPriority w:val="34"/>
    <w:qFormat/>
    <w:rsid w:val="005F0D8D"/>
    <w:rPr>
      <w:rFonts w:ascii="Calibri" w:eastAsia="Calibri" w:hAnsi="Calibri"/>
      <w:sz w:val="22"/>
      <w:szCs w:val="22"/>
      <w:lang w:val="kk-KZ" w:eastAsia="en-US"/>
    </w:rPr>
  </w:style>
  <w:style w:type="character" w:customStyle="1" w:styleId="2">
    <w:name w:val="Основной текст (2)_"/>
    <w:link w:val="20"/>
    <w:rsid w:val="00812EBC"/>
    <w:rPr>
      <w:sz w:val="26"/>
      <w:szCs w:val="26"/>
      <w:shd w:val="clear" w:color="auto" w:fill="FFFFFF"/>
    </w:rPr>
  </w:style>
  <w:style w:type="paragraph" w:customStyle="1" w:styleId="20">
    <w:name w:val="Основной текст (2)"/>
    <w:basedOn w:val="a"/>
    <w:link w:val="2"/>
    <w:rsid w:val="00812EBC"/>
    <w:pPr>
      <w:widowControl w:val="0"/>
      <w:shd w:val="clear" w:color="auto" w:fill="FFFFFF"/>
      <w:spacing w:before="560" w:line="335" w:lineRule="exact"/>
      <w:ind w:hanging="340"/>
      <w:jc w:val="both"/>
    </w:pPr>
    <w:rPr>
      <w:rFonts w:eastAsia="Times New Roman"/>
      <w:color w:val="auto"/>
      <w:sz w:val="26"/>
      <w:szCs w:val="26"/>
    </w:rPr>
  </w:style>
  <w:style w:type="paragraph" w:customStyle="1" w:styleId="pc">
    <w:name w:val="pc"/>
    <w:basedOn w:val="a"/>
    <w:rsid w:val="00175063"/>
    <w:pPr>
      <w:jc w:val="center"/>
    </w:pPr>
  </w:style>
  <w:style w:type="paragraph" w:styleId="af3">
    <w:name w:val="footnote text"/>
    <w:aliases w:val="Footnote Text Char1,Footnote Text Char Char,Footnote Text Char1 Char Char,Footnote Text Char Char Char Char,Footnote Text Char1 Char Char Char Char,Footnote Text Char Char Char Char Char Char,Char Char Char,Footnote Text Char Char1 Char Ch"/>
    <w:basedOn w:val="a"/>
    <w:link w:val="af4"/>
    <w:uiPriority w:val="99"/>
    <w:unhideWhenUsed/>
    <w:rsid w:val="00E415CD"/>
    <w:rPr>
      <w:rFonts w:ascii="Arial" w:eastAsia="Times New Roman" w:hAnsi="Arial"/>
      <w:color w:val="auto"/>
      <w:sz w:val="20"/>
      <w:szCs w:val="20"/>
    </w:rPr>
  </w:style>
  <w:style w:type="character" w:customStyle="1" w:styleId="af4">
    <w:name w:val="Текст сноски Знак"/>
    <w:aliases w:val="Footnote Text Char1 Знак,Footnote Text Char Char Знак,Footnote Text Char1 Char Char Знак,Footnote Text Char Char Char Char Знак,Footnote Text Char1 Char Char Char Char Знак,Footnote Text Char Char Char Char Char Char Знак"/>
    <w:basedOn w:val="a0"/>
    <w:link w:val="af3"/>
    <w:uiPriority w:val="99"/>
    <w:rsid w:val="00E415CD"/>
    <w:rPr>
      <w:rFonts w:ascii="Arial" w:hAnsi="Arial"/>
    </w:rPr>
  </w:style>
  <w:style w:type="character" w:styleId="af5">
    <w:name w:val="footnote reference"/>
    <w:aliases w:val="fr,Used by Word for Help footnote symbols,Знак сноски 1"/>
    <w:basedOn w:val="a0"/>
    <w:uiPriority w:val="99"/>
    <w:unhideWhenUsed/>
    <w:rsid w:val="00E415CD"/>
    <w:rPr>
      <w:vertAlign w:val="superscript"/>
    </w:rPr>
  </w:style>
  <w:style w:type="paragraph" w:styleId="af6">
    <w:name w:val="Normal (Web)"/>
    <w:basedOn w:val="a"/>
    <w:uiPriority w:val="99"/>
    <w:unhideWhenUsed/>
    <w:rsid w:val="0071318E"/>
    <w:rPr>
      <w:rFonts w:eastAsiaTheme="minorHAnsi"/>
      <w:color w:val="auto"/>
    </w:rPr>
  </w:style>
  <w:style w:type="character" w:styleId="af7">
    <w:name w:val="Strong"/>
    <w:basedOn w:val="a0"/>
    <w:uiPriority w:val="22"/>
    <w:qFormat/>
    <w:rsid w:val="001B084D"/>
    <w:rPr>
      <w:b/>
      <w:bCs/>
    </w:rPr>
  </w:style>
  <w:style w:type="character" w:customStyle="1" w:styleId="s3">
    <w:name w:val="s3"/>
    <w:basedOn w:val="a0"/>
    <w:rsid w:val="00FD2B40"/>
    <w:rPr>
      <w:rFonts w:ascii="Times New Roman" w:hAnsi="Times New Roman" w:cs="Times New Roman" w:hint="default"/>
      <w:b w:val="0"/>
      <w:bCs w:val="0"/>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94016">
      <w:bodyDiv w:val="1"/>
      <w:marLeft w:val="0"/>
      <w:marRight w:val="0"/>
      <w:marTop w:val="0"/>
      <w:marBottom w:val="0"/>
      <w:divBdr>
        <w:top w:val="none" w:sz="0" w:space="0" w:color="auto"/>
        <w:left w:val="none" w:sz="0" w:space="0" w:color="auto"/>
        <w:bottom w:val="none" w:sz="0" w:space="0" w:color="auto"/>
        <w:right w:val="none" w:sz="0" w:space="0" w:color="auto"/>
      </w:divBdr>
    </w:div>
    <w:div w:id="514661697">
      <w:bodyDiv w:val="1"/>
      <w:marLeft w:val="0"/>
      <w:marRight w:val="0"/>
      <w:marTop w:val="0"/>
      <w:marBottom w:val="0"/>
      <w:divBdr>
        <w:top w:val="none" w:sz="0" w:space="0" w:color="auto"/>
        <w:left w:val="none" w:sz="0" w:space="0" w:color="auto"/>
        <w:bottom w:val="none" w:sz="0" w:space="0" w:color="auto"/>
        <w:right w:val="none" w:sz="0" w:space="0" w:color="auto"/>
      </w:divBdr>
    </w:div>
    <w:div w:id="963343153">
      <w:bodyDiv w:val="1"/>
      <w:marLeft w:val="0"/>
      <w:marRight w:val="0"/>
      <w:marTop w:val="0"/>
      <w:marBottom w:val="0"/>
      <w:divBdr>
        <w:top w:val="none" w:sz="0" w:space="0" w:color="auto"/>
        <w:left w:val="none" w:sz="0" w:space="0" w:color="auto"/>
        <w:bottom w:val="none" w:sz="0" w:space="0" w:color="auto"/>
        <w:right w:val="none" w:sz="0" w:space="0" w:color="auto"/>
      </w:divBdr>
    </w:div>
    <w:div w:id="974676017">
      <w:bodyDiv w:val="1"/>
      <w:marLeft w:val="0"/>
      <w:marRight w:val="0"/>
      <w:marTop w:val="0"/>
      <w:marBottom w:val="0"/>
      <w:divBdr>
        <w:top w:val="none" w:sz="0" w:space="0" w:color="auto"/>
        <w:left w:val="none" w:sz="0" w:space="0" w:color="auto"/>
        <w:bottom w:val="none" w:sz="0" w:space="0" w:color="auto"/>
        <w:right w:val="none" w:sz="0" w:space="0" w:color="auto"/>
      </w:divBdr>
    </w:div>
    <w:div w:id="1006059597">
      <w:bodyDiv w:val="1"/>
      <w:marLeft w:val="0"/>
      <w:marRight w:val="0"/>
      <w:marTop w:val="0"/>
      <w:marBottom w:val="0"/>
      <w:divBdr>
        <w:top w:val="none" w:sz="0" w:space="0" w:color="auto"/>
        <w:left w:val="none" w:sz="0" w:space="0" w:color="auto"/>
        <w:bottom w:val="none" w:sz="0" w:space="0" w:color="auto"/>
        <w:right w:val="none" w:sz="0" w:space="0" w:color="auto"/>
      </w:divBdr>
    </w:div>
    <w:div w:id="1088504830">
      <w:bodyDiv w:val="1"/>
      <w:marLeft w:val="0"/>
      <w:marRight w:val="0"/>
      <w:marTop w:val="0"/>
      <w:marBottom w:val="0"/>
      <w:divBdr>
        <w:top w:val="none" w:sz="0" w:space="0" w:color="auto"/>
        <w:left w:val="none" w:sz="0" w:space="0" w:color="auto"/>
        <w:bottom w:val="none" w:sz="0" w:space="0" w:color="auto"/>
        <w:right w:val="none" w:sz="0" w:space="0" w:color="auto"/>
      </w:divBdr>
    </w:div>
    <w:div w:id="1123303711">
      <w:bodyDiv w:val="1"/>
      <w:marLeft w:val="0"/>
      <w:marRight w:val="0"/>
      <w:marTop w:val="0"/>
      <w:marBottom w:val="0"/>
      <w:divBdr>
        <w:top w:val="none" w:sz="0" w:space="0" w:color="auto"/>
        <w:left w:val="none" w:sz="0" w:space="0" w:color="auto"/>
        <w:bottom w:val="none" w:sz="0" w:space="0" w:color="auto"/>
        <w:right w:val="none" w:sz="0" w:space="0" w:color="auto"/>
      </w:divBdr>
    </w:div>
    <w:div w:id="1475683041">
      <w:bodyDiv w:val="1"/>
      <w:marLeft w:val="0"/>
      <w:marRight w:val="0"/>
      <w:marTop w:val="0"/>
      <w:marBottom w:val="0"/>
      <w:divBdr>
        <w:top w:val="none" w:sz="0" w:space="0" w:color="auto"/>
        <w:left w:val="none" w:sz="0" w:space="0" w:color="auto"/>
        <w:bottom w:val="none" w:sz="0" w:space="0" w:color="auto"/>
        <w:right w:val="none" w:sz="0" w:space="0" w:color="auto"/>
      </w:divBdr>
    </w:div>
    <w:div w:id="1697192773">
      <w:bodyDiv w:val="1"/>
      <w:marLeft w:val="0"/>
      <w:marRight w:val="0"/>
      <w:marTop w:val="0"/>
      <w:marBottom w:val="0"/>
      <w:divBdr>
        <w:top w:val="none" w:sz="0" w:space="0" w:color="auto"/>
        <w:left w:val="none" w:sz="0" w:space="0" w:color="auto"/>
        <w:bottom w:val="none" w:sz="0" w:space="0" w:color="auto"/>
        <w:right w:val="none" w:sz="0" w:space="0" w:color="auto"/>
      </w:divBdr>
    </w:div>
    <w:div w:id="20916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4808012" TargetMode="External"/><Relationship Id="rId18" Type="http://schemas.openxmlformats.org/officeDocument/2006/relationships/chart" Target="charts/chart4.xml"/><Relationship Id="rId26" Type="http://schemas.openxmlformats.org/officeDocument/2006/relationships/chart" Target="charts/chart8.xml"/><Relationship Id="rId39" Type="http://schemas.openxmlformats.org/officeDocument/2006/relationships/hyperlink" Target="http://online.zakon.kz/Document/?doc_id=34264140" TargetMode="External"/><Relationship Id="rId21" Type="http://schemas.openxmlformats.org/officeDocument/2006/relationships/hyperlink" Target="http://online.zakon.kz/Document/?doc_id=1026672" TargetMode="External"/><Relationship Id="rId34" Type="http://schemas.openxmlformats.org/officeDocument/2006/relationships/image" Target="media/image3.emf"/><Relationship Id="rId42" Type="http://schemas.openxmlformats.org/officeDocument/2006/relationships/hyperlink" Target="http://online.zakon.kz/Document/?doc_id=3650582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2.xm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doc_id=37795527" TargetMode="External"/><Relationship Id="rId24" Type="http://schemas.openxmlformats.org/officeDocument/2006/relationships/chart" Target="charts/chart6.xml"/><Relationship Id="rId32" Type="http://schemas.openxmlformats.org/officeDocument/2006/relationships/chart" Target="charts/chart10.xml"/><Relationship Id="rId37" Type="http://schemas.openxmlformats.org/officeDocument/2006/relationships/chart" Target="charts/chart13.xml"/><Relationship Id="rId40" Type="http://schemas.openxmlformats.org/officeDocument/2006/relationships/hyperlink" Target="http://www.egov.kz"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5.xml"/><Relationship Id="rId28" Type="http://schemas.openxmlformats.org/officeDocument/2006/relationships/hyperlink" Target="http://online.zakon.kz/Document/?doc_id=36505827" TargetMode="External"/><Relationship Id="rId36" Type="http://schemas.openxmlformats.org/officeDocument/2006/relationships/chart" Target="charts/chart12.xml"/><Relationship Id="rId10" Type="http://schemas.openxmlformats.org/officeDocument/2006/relationships/hyperlink" Target="http://online.zakon.kz/Document/?doc_id=31390639" TargetMode="External"/><Relationship Id="rId19" Type="http://schemas.openxmlformats.org/officeDocument/2006/relationships/hyperlink" Target="http://online.zakon.kz/Document/?doc_id=38259854" TargetMode="External"/><Relationship Id="rId31" Type="http://schemas.openxmlformats.org/officeDocument/2006/relationships/chart" Target="charts/chart9.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nline.zakon.kz/Document/?doc_id=1007774" TargetMode="External"/><Relationship Id="rId14" Type="http://schemas.openxmlformats.org/officeDocument/2006/relationships/hyperlink" Target="http://online.zakon.kz/Document/?doc_id=36505827" TargetMode="External"/><Relationship Id="rId22" Type="http://schemas.openxmlformats.org/officeDocument/2006/relationships/hyperlink" Target="http://www.stat.gov.kz" TargetMode="External"/><Relationship Id="rId27" Type="http://schemas.openxmlformats.org/officeDocument/2006/relationships/hyperlink" Target="http://online.zakon.kz/Document/?doc_id=31494181" TargetMode="External"/><Relationship Id="rId30" Type="http://schemas.openxmlformats.org/officeDocument/2006/relationships/image" Target="https://prod-prg-document-store-api.azurewebsites.net/api/DocumentObject/GetImageAsync?ImageId=41348319" TargetMode="External"/><Relationship Id="rId35" Type="http://schemas.openxmlformats.org/officeDocument/2006/relationships/chart" Target="charts/chart11.xml"/><Relationship Id="rId43" Type="http://schemas.openxmlformats.org/officeDocument/2006/relationships/hyperlink" Target="jl:36505827.0%20" TargetMode="External"/><Relationship Id="rId8" Type="http://schemas.openxmlformats.org/officeDocument/2006/relationships/hyperlink" Target="http://online.zakon.kz/Document/?doc_id=35076645" TargetMode="External"/><Relationship Id="rId3" Type="http://schemas.openxmlformats.org/officeDocument/2006/relationships/styles" Target="styles.xml"/><Relationship Id="rId12" Type="http://schemas.openxmlformats.org/officeDocument/2006/relationships/hyperlink" Target="http://online.zakon.kz/Document/?doc_id=35676318" TargetMode="External"/><Relationship Id="rId17" Type="http://schemas.openxmlformats.org/officeDocument/2006/relationships/chart" Target="charts/chart3.xml"/><Relationship Id="rId25" Type="http://schemas.openxmlformats.org/officeDocument/2006/relationships/chart" Target="charts/chart7.xml"/><Relationship Id="rId33" Type="http://schemas.openxmlformats.org/officeDocument/2006/relationships/image" Target="media/image2.emf"/><Relationship Id="rId38" Type="http://schemas.openxmlformats.org/officeDocument/2006/relationships/chart" Target="charts/chart14.xml"/><Relationship Id="rId46" Type="http://schemas.openxmlformats.org/officeDocument/2006/relationships/theme" Target="theme/theme1.xml"/><Relationship Id="rId20" Type="http://schemas.openxmlformats.org/officeDocument/2006/relationships/hyperlink" Target="http://online.zakon.kz/Document/?doc_id=30044096" TargetMode="External"/><Relationship Id="rId41" Type="http://schemas.openxmlformats.org/officeDocument/2006/relationships/hyperlink" Target="http://online.zakon.kz/Document/?doc_id=3956823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kosmes.or.kr/sbc/SH/EHP/SHEHP001M0.do" TargetMode="External"/><Relationship Id="rId2" Type="http://schemas.openxmlformats.org/officeDocument/2006/relationships/hyperlink" Target="https://www.kodit.co.kr/html/english/index.jsp" TargetMode="External"/><Relationship Id="rId1" Type="http://schemas.openxmlformats.org/officeDocument/2006/relationships/hyperlink" Target="https://www.sba.gov/"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1056;&#1072;&#1073;&#1086;&#1095;&#1080;&#1081;%20&#1089;&#1090;&#1086;&#1083;\000001%202021\09%20&#1089;&#1077;&#1085;&#1090;&#1103;&#1073;&#1088;&#1100;\&#1057;&#1090;&#1088;&#1072;&#1090;&#1077;&#1075;&#1080;&#1103;\&#1050;&#1086;&#1087;&#1080;&#1103;%20&#1050;&#1086;&#1087;&#1080;&#1103;%20&#1044;&#1080;&#1072;&#1075;&#1088;&#1072;&#1084;&#1084;&#1099;%20&#1076;&#1083;&#1103;%20&#1089;&#1091;&#1073;&#1089;&#1080;&#1076;%20&#1080;%20&#1075;&#1072;&#1088;&#1072;&#1085;&#1090;.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Zhetpisbaeva.K\Downloads\&#1057;&#1091;&#1084;&#1084;&#1072;%20&#1074;&#1099;&#1076;&#1072;&#1085;&#1085;&#1099;&#1093;%20&#1079;&#1072;&#1081;&#1084;&#1086;&#1074;%20&#1074;%20&#1088;&#1072;&#1079;&#1088;&#1077;&#1079;&#1077;%20&#1086;&#1090;&#1088;&#1072;&#1089;&#1083;&#1080;%20(1).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bekzat.imashev\Desktop\03%20&#1084;&#1072;&#1088;&#1090;\&#1057;&#1090;&#1088;&#1072;&#1090;&#1077;&#1075;&#1080;&#1103;%20&#1040;&#1081;&#1075;&#1091;&#1083;&#1100;%20&#1040;\&#1075;&#1088;&#1072;&#1092;&#1080;&#1082;&#1080;%20&#1089;&#1090;&#1088;&#1072;&#1090;&#1077;&#1075;&#1080;&#1103;.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bekzat.imashev\Desktop\03%20&#1084;&#1072;&#1088;&#1090;\&#1057;&#1090;&#1088;&#1072;&#1090;&#1077;&#1075;&#1080;&#1103;%20&#1040;&#1081;&#1075;&#1091;&#1083;&#1100;%20&#1040;\&#1075;&#1088;&#1072;&#1092;&#1080;&#1082;&#1080;%20&#1089;&#1090;&#1088;&#1072;&#1090;&#1077;&#1075;&#1080;&#1103;.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1040;&#1076;&#1084;&#1080;&#1085;\Desktop\08%20&#1072;&#1074;&#1075;&#1091;&#1089;&#1090;\&#1057;&#1090;&#1088;&#1072;&#1090;&#1077;&#1075;&#1080;&#1103;\&#1075;&#1088;&#1072;&#1092;&#1080;&#1082;.xlsx" TargetMode="External"/></Relationships>
</file>

<file path=word/charts/_rels/chart14.xml.rels><?xml version="1.0" encoding="UTF-8" standalone="yes"?>
<Relationships xmlns="http://schemas.openxmlformats.org/package/2006/relationships"><Relationship Id="rId2" Type="http://schemas.openxmlformats.org/officeDocument/2006/relationships/oleObject" Target="file:///C:\Users\madina.nurusheva\AppData\Local\Microsoft\Windows\INetCache\Content.Outlook\O7YDRBCN\&#1057;&#1090;&#1088;&#1072;&#1090;&#1077;&#1075;&#1080;&#1103;%20&#1072;&#1082;&#1090;&#1091;&#1072;&#1083;&#1080;&#1079;%20&#1087;&#1088;&#1086;&#1077;&#1082;&#1090;_2021%20(&#1040;&#1085;&#1091;&#1072;&#1088;).doc!_1654600201" TargetMode="External"/><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oleObject" Target="file:///D:\&#1056;&#1072;&#1073;&#1086;&#1095;&#1080;&#1081;%20&#1089;&#1090;&#1086;&#1083;\000001%202021\09%20&#1089;&#1077;&#1085;&#1090;&#1103;&#1073;&#1088;&#1100;\&#1057;&#1090;&#1088;&#1072;&#1090;&#1077;&#1075;&#1080;&#1103;\&#1050;&#1086;&#1087;&#1080;&#1103;%20&#1050;&#1086;&#1087;&#1080;&#1103;%20&#1044;&#1080;&#1072;&#1075;&#1088;&#1072;&#1084;&#1084;&#1099;%20&#1076;&#1083;&#1103;%20&#1089;&#1091;&#1073;&#1089;&#1080;&#1076;%20&#1080;%20&#1075;&#1072;&#1088;&#1072;&#1085;&#109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1056;&#1072;&#1073;&#1086;&#1095;&#1080;&#1081;%20&#1089;&#1090;&#1086;&#1083;\&#1050;&#1086;&#1087;&#1080;&#1103;%20&#1050;&#1086;&#1087;&#1080;&#1103;%20&#1044;&#1080;&#1072;&#1075;&#1088;&#1072;&#1084;&#1084;&#1099;%20&#1076;&#1083;&#1103;%20&#1089;&#1091;&#1073;&#1089;&#1080;&#1076;%20&#1080;%20&#1075;&#1072;&#1088;&#1072;&#1085;&#1090;.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1056;&#1072;&#1073;&#1086;&#1095;&#1080;&#1081;%20&#1089;&#1090;&#1086;&#1083;\&#1050;&#1086;&#1087;&#1080;&#1103;%20&#1050;&#1086;&#1087;&#1080;&#1103;%20&#1044;&#1080;&#1072;&#1075;&#1088;&#1072;&#1084;&#1084;&#1099;%20&#1076;&#1083;&#1103;%20&#1089;&#1091;&#1073;&#1089;&#1080;&#1076;%20&#1080;%20&#1075;&#1072;&#1088;&#1072;&#1085;&#1090;.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bekzat.imashev\Desktop\&#1053;&#1054;&#1059;&#1058;%20&#1064;&#1040;&#1041;&#1051;&#1054;&#1053;&#1067;\&#1050;&#1086;&#1087;&#1080;&#1103;%20&#1050;&#1086;&#1087;&#1080;&#1103;%20&#1044;&#1080;&#1072;&#1075;&#1088;&#1072;&#1084;&#1084;&#1099;%20&#1076;&#1083;&#1103;%20&#1089;&#1091;&#1073;&#1089;&#1080;&#1076;%20&#1080;%20&#1075;&#1072;&#1088;&#1072;&#1085;&#1090;%20(&#1040;&#1074;&#1090;&#1086;&#1089;&#1086;&#1093;&#1088;&#1072;&#1085;&#1077;&#1085;&#1085;&#1099;&#1081;).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D:\&#1056;&#1072;&#1073;&#1086;&#1095;&#1080;&#1081;%20&#1089;&#1090;&#1086;&#1083;\000001%202021\09%20&#1089;&#1077;&#1085;&#1090;&#1103;&#1073;&#1088;&#1100;\&#1057;&#1090;&#1088;&#1072;&#1090;&#1077;&#1075;&#1080;&#1103;\&#1050;&#1086;&#1087;&#1080;&#1103;%20&#1050;&#1086;&#1087;&#1080;&#1103;%20&#1044;&#1080;&#1072;&#1075;&#1088;&#1072;&#1084;&#1084;&#1099;%20&#1076;&#1083;&#1103;%20&#1089;&#1091;&#1073;&#1089;&#1080;&#1076;%20&#1080;%20&#1075;&#1072;&#1088;&#1072;&#1085;&#1090;%20(&#1040;&#1074;&#1090;&#1086;&#1089;&#1086;&#1093;&#1088;&#1072;&#1085;&#1077;&#1085;&#1085;&#1099;&#1081;).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D:\&#1056;&#1072;&#1073;&#1086;&#1095;&#1080;&#1081;%20&#1089;&#1090;&#1086;&#1083;\000001%202021\09%20&#1089;&#1077;&#1085;&#1090;&#1103;&#1073;&#1088;&#1100;\&#1057;&#1090;&#1088;&#1072;&#1090;&#1077;&#1075;&#1080;&#1103;\&#1050;&#1086;&#1087;&#1080;&#1103;%20&#1050;&#1086;&#1087;&#1080;&#1103;%20&#1044;&#1080;&#1072;&#1075;&#1088;&#1072;&#1084;&#1084;&#1099;%20&#1076;&#1083;&#1103;%20&#1089;&#1091;&#1073;&#1089;&#1080;&#1076;%20&#1080;%20&#1075;&#1072;&#1088;&#1072;&#1085;&#1090;%20(&#1040;&#1074;&#1090;&#1086;&#1089;&#1086;&#1093;&#1088;&#1072;&#1085;&#1077;&#1085;&#1085;&#1099;&#1081;).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D:\&#1056;&#1072;&#1073;&#1086;&#1095;&#1080;&#1081;%20&#1089;&#1090;&#1086;&#1083;\000001%202021\09%20&#1089;&#1077;&#1085;&#1090;&#1103;&#1073;&#1088;&#1100;\&#1057;&#1090;&#1088;&#1072;&#1090;&#1077;&#1075;&#1080;&#1103;\&#1050;&#1086;&#1087;&#1080;&#1103;%20&#1050;&#1086;&#1087;&#1080;&#1103;%20&#1044;&#1080;&#1072;&#1075;&#1088;&#1072;&#1084;&#1084;&#1099;%20&#1076;&#1083;&#1103;%20&#1089;&#1091;&#1073;&#1089;&#1080;&#1076;%20&#1080;%20&#1075;&#1072;&#1088;&#1072;&#1085;&#1090;%20(&#1040;&#1074;&#1090;&#1086;&#1089;&#1086;&#1093;&#1088;&#1072;&#1085;&#1077;&#1085;&#1085;&#1099;&#1081;).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bekzat.imashev\Desktop\&#1050;&#1086;&#1087;&#1080;&#1103;%20&#1050;&#1086;&#1087;&#1080;&#1103;%20&#1044;&#1080;&#1072;&#1075;&#1088;&#1072;&#1084;&#1084;&#1099;%20&#1076;&#1083;&#1103;%20&#1089;&#1091;&#1073;&#1089;&#1080;&#1076;%20&#1080;%20&#1075;&#1072;&#1088;&#1072;&#1085;&#1090;%20&#8212;%20&#1082;&#1086;&#1087;&#1080;&#1103;.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8014246497927585E-2"/>
          <c:y val="6.3238203540627272E-2"/>
          <c:w val="0.889345518645137"/>
          <c:h val="0.69442527141935018"/>
        </c:manualLayout>
      </c:layout>
      <c:barChart>
        <c:barDir val="col"/>
        <c:grouping val="clustered"/>
        <c:varyColors val="0"/>
        <c:ser>
          <c:idx val="1"/>
          <c:order val="0"/>
          <c:tx>
            <c:strRef>
              <c:f>Стратегия!$B$3</c:f>
              <c:strCache>
                <c:ptCount val="1"/>
                <c:pt idx="0">
                  <c:v>Количество зарегистрированных субъектов ММСП, тыс. ед.</c:v>
                </c:pt>
              </c:strCache>
            </c:strRef>
          </c:tx>
          <c:spPr>
            <a:solidFill>
              <a:schemeClr val="accent1"/>
            </a:solidFill>
          </c:spPr>
          <c:invertIfNegative val="0"/>
          <c:dLbls>
            <c:dLbl>
              <c:idx val="0"/>
              <c:layout>
                <c:manualLayout>
                  <c:x val="4.1727519298977627E-3"/>
                  <c:y val="0.3498519107129957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EBE-4B6A-B927-9A5BAAFF3E9B}"/>
                </c:ext>
              </c:extLst>
            </c:dLbl>
            <c:spPr>
              <a:noFill/>
              <a:ln>
                <a:noFill/>
              </a:ln>
              <a:effectLst/>
            </c:spPr>
            <c:txPr>
              <a:bodyPr/>
              <a:lstStyle/>
              <a:p>
                <a:pPr>
                  <a:defRPr sz="700"/>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Стратегия!$C$2:$M$2</c:f>
              <c:strCache>
                <c:ptCount val="11"/>
                <c:pt idx="0">
                  <c:v>2010 г.</c:v>
                </c:pt>
                <c:pt idx="1">
                  <c:v>2011 г.</c:v>
                </c:pt>
                <c:pt idx="2">
                  <c:v>2012 г.</c:v>
                </c:pt>
                <c:pt idx="3">
                  <c:v>2013 г.</c:v>
                </c:pt>
                <c:pt idx="4">
                  <c:v>2014 г.</c:v>
                </c:pt>
                <c:pt idx="5">
                  <c:v>2015 г.</c:v>
                </c:pt>
                <c:pt idx="6">
                  <c:v>2016 г.</c:v>
                </c:pt>
                <c:pt idx="7">
                  <c:v>2017 г.</c:v>
                </c:pt>
                <c:pt idx="8">
                  <c:v>2018 г.</c:v>
                </c:pt>
                <c:pt idx="9">
                  <c:v>2019 г.</c:v>
                </c:pt>
                <c:pt idx="10">
                  <c:v>2020 г.</c:v>
                </c:pt>
              </c:strCache>
            </c:strRef>
          </c:cat>
          <c:val>
            <c:numRef>
              <c:f>Стратегия!$C$3:$M$3</c:f>
              <c:numCache>
                <c:formatCode>#,##0</c:formatCode>
                <c:ptCount val="11"/>
                <c:pt idx="0">
                  <c:v>1197</c:v>
                </c:pt>
                <c:pt idx="1">
                  <c:v>1383.7270000000001</c:v>
                </c:pt>
                <c:pt idx="2">
                  <c:v>1399.787</c:v>
                </c:pt>
                <c:pt idx="3">
                  <c:v>1535.9829999999999</c:v>
                </c:pt>
                <c:pt idx="4">
                  <c:v>1655.386</c:v>
                </c:pt>
                <c:pt idx="5">
                  <c:v>1481.454</c:v>
                </c:pt>
                <c:pt idx="6">
                  <c:v>1498.2429999999999</c:v>
                </c:pt>
                <c:pt idx="7">
                  <c:v>1540.5920000000001</c:v>
                </c:pt>
                <c:pt idx="8">
                  <c:v>1577.576</c:v>
                </c:pt>
                <c:pt idx="9" formatCode="_-* #\ ##0\ _₽_-;\-* #\ ##0\ _₽_-;_-* &quot;-&quot;??\ _₽_-;_-@_-">
                  <c:v>1603.8390000000004</c:v>
                </c:pt>
                <c:pt idx="10" formatCode="_-* #\ ##0\ _₽_-;\-* #\ ##0\ _₽_-;_-* &quot;-&quot;??\ _₽_-;_-@_-">
                  <c:v>1610.4960000000001</c:v>
                </c:pt>
              </c:numCache>
            </c:numRef>
          </c:val>
          <c:extLst>
            <c:ext xmlns:c16="http://schemas.microsoft.com/office/drawing/2014/chart" uri="{C3380CC4-5D6E-409C-BE32-E72D297353CC}">
              <c16:uniqueId val="{00000001-0EBE-4B6A-B927-9A5BAAFF3E9B}"/>
            </c:ext>
          </c:extLst>
        </c:ser>
        <c:dLbls>
          <c:showLegendKey val="0"/>
          <c:showVal val="1"/>
          <c:showCatName val="0"/>
          <c:showSerName val="0"/>
          <c:showPercent val="0"/>
          <c:showBubbleSize val="0"/>
        </c:dLbls>
        <c:gapWidth val="150"/>
        <c:axId val="-1401146224"/>
        <c:axId val="-1401158192"/>
      </c:barChart>
      <c:lineChart>
        <c:grouping val="standard"/>
        <c:varyColors val="0"/>
        <c:ser>
          <c:idx val="2"/>
          <c:order val="1"/>
          <c:tx>
            <c:strRef>
              <c:f>Стратегия!$B$4</c:f>
              <c:strCache>
                <c:ptCount val="1"/>
                <c:pt idx="0">
                  <c:v>Доля зарег.субъектов ММСП в общем кол-ве хоз.субъектов, %</c:v>
                </c:pt>
              </c:strCache>
            </c:strRef>
          </c:tx>
          <c:marker>
            <c:symbol val="none"/>
          </c:marker>
          <c:dLbls>
            <c:dLbl>
              <c:idx val="0"/>
              <c:layout>
                <c:manualLayout>
                  <c:x val="-8.5124139369914462E-2"/>
                  <c:y val="-5.32701982835158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EBE-4B6A-B927-9A5BAAFF3E9B}"/>
                </c:ext>
              </c:extLst>
            </c:dLbl>
            <c:dLbl>
              <c:idx val="1"/>
              <c:layout>
                <c:manualLayout>
                  <c:x val="-7.6778635510118917E-2"/>
                  <c:y val="-3.55134655223438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EBE-4B6A-B927-9A5BAAFF3E9B}"/>
                </c:ext>
              </c:extLst>
            </c:dLbl>
            <c:dLbl>
              <c:idx val="2"/>
              <c:layout>
                <c:manualLayout>
                  <c:x val="-7.2605719298649118E-2"/>
                  <c:y val="-7.1026931044687783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9.9311495931566851E-2"/>
                      <c:h val="7.810026262254359E-2"/>
                    </c:manualLayout>
                  </c15:layout>
                </c:ext>
                <c:ext xmlns:c16="http://schemas.microsoft.com/office/drawing/2014/chart" uri="{C3380CC4-5D6E-409C-BE32-E72D297353CC}">
                  <c16:uniqueId val="{00000004-0EBE-4B6A-B927-9A5BAAFF3E9B}"/>
                </c:ext>
              </c:extLst>
            </c:dLbl>
            <c:dLbl>
              <c:idx val="3"/>
              <c:layout>
                <c:manualLayout>
                  <c:x val="-8.5124139369914462E-2"/>
                  <c:y val="-5.32701982835158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EBE-4B6A-B927-9A5BAAFF3E9B}"/>
                </c:ext>
              </c:extLst>
            </c:dLbl>
            <c:spPr>
              <a:noFill/>
              <a:ln>
                <a:noFill/>
              </a:ln>
              <a:effectLst/>
            </c:spPr>
            <c:txPr>
              <a:bodyPr/>
              <a:lstStyle/>
              <a:p>
                <a:pPr>
                  <a:defRPr sz="800" b="1"/>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Стратегия!$C$2:$M$2</c:f>
              <c:strCache>
                <c:ptCount val="11"/>
                <c:pt idx="0">
                  <c:v>2010 г.</c:v>
                </c:pt>
                <c:pt idx="1">
                  <c:v>2011 г.</c:v>
                </c:pt>
                <c:pt idx="2">
                  <c:v>2012 г.</c:v>
                </c:pt>
                <c:pt idx="3">
                  <c:v>2013 г.</c:v>
                </c:pt>
                <c:pt idx="4">
                  <c:v>2014 г.</c:v>
                </c:pt>
                <c:pt idx="5">
                  <c:v>2015 г.</c:v>
                </c:pt>
                <c:pt idx="6">
                  <c:v>2016 г.</c:v>
                </c:pt>
                <c:pt idx="7">
                  <c:v>2017 г.</c:v>
                </c:pt>
                <c:pt idx="8">
                  <c:v>2018 г.</c:v>
                </c:pt>
                <c:pt idx="9">
                  <c:v>2019 г.</c:v>
                </c:pt>
                <c:pt idx="10">
                  <c:v>2020 г.</c:v>
                </c:pt>
              </c:strCache>
            </c:strRef>
          </c:cat>
          <c:val>
            <c:numRef>
              <c:f>Стратегия!$C$4:$M$4</c:f>
              <c:numCache>
                <c:formatCode>#\ ##0.0</c:formatCode>
                <c:ptCount val="11"/>
                <c:pt idx="0">
                  <c:v>94.5</c:v>
                </c:pt>
                <c:pt idx="1">
                  <c:v>95</c:v>
                </c:pt>
                <c:pt idx="2">
                  <c:v>94.9</c:v>
                </c:pt>
                <c:pt idx="3">
                  <c:v>95.1</c:v>
                </c:pt>
                <c:pt idx="4">
                  <c:v>96</c:v>
                </c:pt>
                <c:pt idx="5">
                  <c:v>96.1</c:v>
                </c:pt>
                <c:pt idx="6">
                  <c:v>95.9</c:v>
                </c:pt>
                <c:pt idx="7">
                  <c:v>96.2</c:v>
                </c:pt>
                <c:pt idx="8">
                  <c:v>96.3</c:v>
                </c:pt>
                <c:pt idx="9">
                  <c:v>96.4</c:v>
                </c:pt>
                <c:pt idx="10">
                  <c:v>96.4</c:v>
                </c:pt>
              </c:numCache>
            </c:numRef>
          </c:val>
          <c:smooth val="0"/>
          <c:extLst>
            <c:ext xmlns:c16="http://schemas.microsoft.com/office/drawing/2014/chart" uri="{C3380CC4-5D6E-409C-BE32-E72D297353CC}">
              <c16:uniqueId val="{00000006-0EBE-4B6A-B927-9A5BAAFF3E9B}"/>
            </c:ext>
          </c:extLst>
        </c:ser>
        <c:dLbls>
          <c:showLegendKey val="0"/>
          <c:showVal val="1"/>
          <c:showCatName val="0"/>
          <c:showSerName val="0"/>
          <c:showPercent val="0"/>
          <c:showBubbleSize val="0"/>
        </c:dLbls>
        <c:marker val="1"/>
        <c:smooth val="0"/>
        <c:axId val="-1401151120"/>
        <c:axId val="-1401151664"/>
      </c:lineChart>
      <c:catAx>
        <c:axId val="-1401146224"/>
        <c:scaling>
          <c:orientation val="minMax"/>
        </c:scaling>
        <c:delete val="0"/>
        <c:axPos val="b"/>
        <c:numFmt formatCode="General" sourceLinked="1"/>
        <c:majorTickMark val="out"/>
        <c:minorTickMark val="none"/>
        <c:tickLblPos val="nextTo"/>
        <c:crossAx val="-1401158192"/>
        <c:crosses val="autoZero"/>
        <c:auto val="1"/>
        <c:lblAlgn val="ctr"/>
        <c:lblOffset val="100"/>
        <c:noMultiLvlLbl val="0"/>
      </c:catAx>
      <c:valAx>
        <c:axId val="-1401158192"/>
        <c:scaling>
          <c:orientation val="minMax"/>
        </c:scaling>
        <c:delete val="0"/>
        <c:axPos val="l"/>
        <c:majorGridlines/>
        <c:numFmt formatCode="#,##0" sourceLinked="1"/>
        <c:majorTickMark val="none"/>
        <c:minorTickMark val="none"/>
        <c:tickLblPos val="none"/>
        <c:crossAx val="-1401146224"/>
        <c:crosses val="autoZero"/>
        <c:crossBetween val="between"/>
      </c:valAx>
      <c:valAx>
        <c:axId val="-1401151664"/>
        <c:scaling>
          <c:orientation val="minMax"/>
        </c:scaling>
        <c:delete val="0"/>
        <c:axPos val="r"/>
        <c:numFmt formatCode="#,##0" sourceLinked="0"/>
        <c:majorTickMark val="out"/>
        <c:minorTickMark val="none"/>
        <c:tickLblPos val="nextTo"/>
        <c:crossAx val="-1401151120"/>
        <c:crosses val="max"/>
        <c:crossBetween val="between"/>
      </c:valAx>
      <c:catAx>
        <c:axId val="-1401151120"/>
        <c:scaling>
          <c:orientation val="minMax"/>
        </c:scaling>
        <c:delete val="1"/>
        <c:axPos val="b"/>
        <c:numFmt formatCode="General" sourceLinked="1"/>
        <c:majorTickMark val="out"/>
        <c:minorTickMark val="none"/>
        <c:tickLblPos val="nextTo"/>
        <c:crossAx val="-1401151664"/>
        <c:crosses val="autoZero"/>
        <c:auto val="1"/>
        <c:lblAlgn val="ctr"/>
        <c:lblOffset val="100"/>
        <c:noMultiLvlLbl val="0"/>
      </c:catAx>
    </c:plotArea>
    <c:legend>
      <c:legendPos val="b"/>
      <c:layout>
        <c:manualLayout>
          <c:xMode val="edge"/>
          <c:yMode val="edge"/>
          <c:x val="4.7735892388451447E-2"/>
          <c:y val="0.84174556605993944"/>
          <c:w val="0.91419442066925027"/>
          <c:h val="0.13036430446194225"/>
        </c:manualLayout>
      </c:layout>
      <c:overlay val="0"/>
    </c:legend>
    <c:plotVisOnly val="1"/>
    <c:dispBlanksAs val="gap"/>
    <c:showDLblsOverMax val="0"/>
  </c:chart>
  <c:spPr>
    <a:ln>
      <a:noFill/>
    </a:ln>
  </c:spPr>
  <c:txPr>
    <a:bodyPr/>
    <a:lstStyle/>
    <a:p>
      <a:pPr>
        <a:defRPr sz="600">
          <a:latin typeface="Arial" pitchFamily="34" charset="0"/>
          <a:cs typeface="Arial" pitchFamily="34" charset="0"/>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03F-4309-95F7-B67357260F6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03F-4309-95F7-B67357260F6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03F-4309-95F7-B67357260F6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03F-4309-95F7-B67357260F6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03F-4309-95F7-B67357260F6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03F-4309-95F7-B67357260F6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'[Сумма выданных займов в разрезе отрасли (1).xlsx]Отчет'!$B$4:$B$9</c:f>
              <c:strCache>
                <c:ptCount val="6"/>
                <c:pt idx="0">
                  <c:v>Промышленность</c:v>
                </c:pt>
                <c:pt idx="1">
                  <c:v>Торговля</c:v>
                </c:pt>
                <c:pt idx="2">
                  <c:v>Прочие услуги</c:v>
                </c:pt>
                <c:pt idx="3">
                  <c:v>Транспорт</c:v>
                </c:pt>
                <c:pt idx="4">
                  <c:v>Сельское хозяйство</c:v>
                </c:pt>
                <c:pt idx="5">
                  <c:v>Строительство</c:v>
                </c:pt>
              </c:strCache>
            </c:strRef>
          </c:cat>
          <c:val>
            <c:numRef>
              <c:f>'[Сумма выданных займов в разрезе отрасли (1).xlsx]Отчет'!$E$4:$E$9</c:f>
              <c:numCache>
                <c:formatCode>0%</c:formatCode>
                <c:ptCount val="6"/>
                <c:pt idx="0">
                  <c:v>0.45320169974285729</c:v>
                </c:pt>
                <c:pt idx="1">
                  <c:v>0.28232720469484751</c:v>
                </c:pt>
                <c:pt idx="2">
                  <c:v>0.14539848734631211</c:v>
                </c:pt>
                <c:pt idx="3">
                  <c:v>4.6716920663285637E-2</c:v>
                </c:pt>
                <c:pt idx="4">
                  <c:v>4.0113847534911429E-2</c:v>
                </c:pt>
                <c:pt idx="5">
                  <c:v>3.2241840017786058E-2</c:v>
                </c:pt>
              </c:numCache>
            </c:numRef>
          </c:val>
          <c:extLst>
            <c:ext xmlns:c16="http://schemas.microsoft.com/office/drawing/2014/chart" uri="{C3380CC4-5D6E-409C-BE32-E72D297353CC}">
              <c16:uniqueId val="{0000000C-A03F-4309-95F7-B67357260F6A}"/>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приор!$B$3</c:f>
              <c:strCache>
                <c:ptCount val="1"/>
                <c:pt idx="0">
                  <c:v>Кредиты БВУ (млрд. тенге)</c:v>
                </c:pt>
              </c:strCache>
            </c:strRef>
          </c:tx>
          <c:spPr>
            <a:solidFill>
              <a:srgbClr val="4F81B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приор!$C$2:$F$2</c:f>
              <c:strCache>
                <c:ptCount val="4"/>
                <c:pt idx="0">
                  <c:v>2017 г.</c:v>
                </c:pt>
                <c:pt idx="1">
                  <c:v>2018 г.</c:v>
                </c:pt>
                <c:pt idx="2">
                  <c:v>2019 г.</c:v>
                </c:pt>
                <c:pt idx="3">
                  <c:v>2020 г.</c:v>
                </c:pt>
              </c:strCache>
            </c:strRef>
          </c:cat>
          <c:val>
            <c:numRef>
              <c:f>приор!$C$3:$F$3</c:f>
              <c:numCache>
                <c:formatCode>_-* #,##0_-;\-* #,##0_-;_-* "-"??_-;_-@_-</c:formatCode>
                <c:ptCount val="4"/>
                <c:pt idx="0">
                  <c:v>2836</c:v>
                </c:pt>
                <c:pt idx="1">
                  <c:v>3732</c:v>
                </c:pt>
                <c:pt idx="2">
                  <c:v>3886</c:v>
                </c:pt>
                <c:pt idx="3">
                  <c:v>4155.9340000000002</c:v>
                </c:pt>
              </c:numCache>
            </c:numRef>
          </c:val>
          <c:extLst>
            <c:ext xmlns:c16="http://schemas.microsoft.com/office/drawing/2014/chart" uri="{C3380CC4-5D6E-409C-BE32-E72D297353CC}">
              <c16:uniqueId val="{00000000-53CF-4EF3-B8F4-D19B78AE8A97}"/>
            </c:ext>
          </c:extLst>
        </c:ser>
        <c:ser>
          <c:idx val="1"/>
          <c:order val="1"/>
          <c:tx>
            <c:strRef>
              <c:f>приор!$B$4</c:f>
              <c:strCache>
                <c:ptCount val="1"/>
                <c:pt idx="0">
                  <c:v>в т.ч. по программам Фонда "Даму" (млрд. тенге)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приор!$C$2:$F$2</c:f>
              <c:strCache>
                <c:ptCount val="4"/>
                <c:pt idx="0">
                  <c:v>2017 г.</c:v>
                </c:pt>
                <c:pt idx="1">
                  <c:v>2018 г.</c:v>
                </c:pt>
                <c:pt idx="2">
                  <c:v>2019 г.</c:v>
                </c:pt>
                <c:pt idx="3">
                  <c:v>2020 г.</c:v>
                </c:pt>
              </c:strCache>
            </c:strRef>
          </c:cat>
          <c:val>
            <c:numRef>
              <c:f>приор!$C$4:$F$4</c:f>
              <c:numCache>
                <c:formatCode>_-* #,##0_-;\-* #,##0_-;_-* "-"??_-;_-@_-</c:formatCode>
                <c:ptCount val="4"/>
                <c:pt idx="0">
                  <c:v>375</c:v>
                </c:pt>
                <c:pt idx="1">
                  <c:v>386</c:v>
                </c:pt>
                <c:pt idx="2">
                  <c:v>424</c:v>
                </c:pt>
                <c:pt idx="3">
                  <c:v>851.27790396084004</c:v>
                </c:pt>
              </c:numCache>
            </c:numRef>
          </c:val>
          <c:extLst>
            <c:ext xmlns:c16="http://schemas.microsoft.com/office/drawing/2014/chart" uri="{C3380CC4-5D6E-409C-BE32-E72D297353CC}">
              <c16:uniqueId val="{00000001-53CF-4EF3-B8F4-D19B78AE8A97}"/>
            </c:ext>
          </c:extLst>
        </c:ser>
        <c:dLbls>
          <c:showLegendKey val="0"/>
          <c:showVal val="0"/>
          <c:showCatName val="0"/>
          <c:showSerName val="0"/>
          <c:showPercent val="0"/>
          <c:showBubbleSize val="0"/>
        </c:dLbls>
        <c:gapWidth val="50"/>
        <c:overlap val="-27"/>
        <c:axId val="-1397063456"/>
        <c:axId val="-1397069440"/>
      </c:barChart>
      <c:lineChart>
        <c:grouping val="standard"/>
        <c:varyColors val="0"/>
        <c:ser>
          <c:idx val="2"/>
          <c:order val="2"/>
          <c:tx>
            <c:strRef>
              <c:f>приор!$B$5</c:f>
              <c:strCache>
                <c:ptCount val="1"/>
                <c:pt idx="0">
                  <c:v>доля Фонда "Даму"</c:v>
                </c:pt>
              </c:strCache>
            </c:strRef>
          </c:tx>
          <c:spPr>
            <a:ln w="28575" cap="rnd">
              <a:solidFill>
                <a:schemeClr val="accent2"/>
              </a:solidFill>
              <a:round/>
            </a:ln>
            <a:effectLst/>
          </c:spPr>
          <c:marker>
            <c:symbol val="none"/>
          </c:marker>
          <c:dLbls>
            <c:dLbl>
              <c:idx val="1"/>
              <c:layout>
                <c:manualLayout>
                  <c:x val="-5.844616082782611E-2"/>
                  <c:y val="2.99233381355535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3CF-4EF3-B8F4-D19B78AE8A97}"/>
                </c:ext>
              </c:extLst>
            </c:dLbl>
            <c:dLbl>
              <c:idx val="2"/>
              <c:layout>
                <c:manualLayout>
                  <c:x val="-5.2745497710532899E-2"/>
                  <c:y val="2.99233381355534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3CF-4EF3-B8F4-D19B78AE8A9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приор!$C$2:$F$2</c:f>
              <c:strCache>
                <c:ptCount val="4"/>
                <c:pt idx="0">
                  <c:v>2017 г.</c:v>
                </c:pt>
                <c:pt idx="1">
                  <c:v>2018 г.</c:v>
                </c:pt>
                <c:pt idx="2">
                  <c:v>2019 г.</c:v>
                </c:pt>
                <c:pt idx="3">
                  <c:v>2020 г.</c:v>
                </c:pt>
              </c:strCache>
            </c:strRef>
          </c:cat>
          <c:val>
            <c:numRef>
              <c:f>приор!$C$5:$F$5</c:f>
              <c:numCache>
                <c:formatCode>0%</c:formatCode>
                <c:ptCount val="4"/>
                <c:pt idx="0">
                  <c:v>0.13222849083215796</c:v>
                </c:pt>
                <c:pt idx="1">
                  <c:v>0.10342979635584137</c:v>
                </c:pt>
                <c:pt idx="2">
                  <c:v>0.10910962429233145</c:v>
                </c:pt>
                <c:pt idx="3">
                  <c:v>0.2048343173786783</c:v>
                </c:pt>
              </c:numCache>
            </c:numRef>
          </c:val>
          <c:smooth val="0"/>
          <c:extLst>
            <c:ext xmlns:c16="http://schemas.microsoft.com/office/drawing/2014/chart" uri="{C3380CC4-5D6E-409C-BE32-E72D297353CC}">
              <c16:uniqueId val="{00000004-53CF-4EF3-B8F4-D19B78AE8A97}"/>
            </c:ext>
          </c:extLst>
        </c:ser>
        <c:dLbls>
          <c:showLegendKey val="0"/>
          <c:showVal val="0"/>
          <c:showCatName val="0"/>
          <c:showSerName val="0"/>
          <c:showPercent val="0"/>
          <c:showBubbleSize val="0"/>
        </c:dLbls>
        <c:marker val="1"/>
        <c:smooth val="0"/>
        <c:axId val="-1397061824"/>
        <c:axId val="-1397060192"/>
      </c:lineChart>
      <c:catAx>
        <c:axId val="-139706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397069440"/>
        <c:crosses val="autoZero"/>
        <c:auto val="1"/>
        <c:lblAlgn val="ctr"/>
        <c:lblOffset val="100"/>
        <c:noMultiLvlLbl val="0"/>
      </c:catAx>
      <c:valAx>
        <c:axId val="-1397069440"/>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397063456"/>
        <c:crosses val="autoZero"/>
        <c:crossBetween val="between"/>
      </c:valAx>
      <c:valAx>
        <c:axId val="-1397060192"/>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1397061824"/>
        <c:crosses val="max"/>
        <c:crossBetween val="between"/>
      </c:valAx>
      <c:catAx>
        <c:axId val="-1397061824"/>
        <c:scaling>
          <c:orientation val="minMax"/>
        </c:scaling>
        <c:delete val="1"/>
        <c:axPos val="b"/>
        <c:numFmt formatCode="General" sourceLinked="1"/>
        <c:majorTickMark val="none"/>
        <c:minorTickMark val="none"/>
        <c:tickLblPos val="nextTo"/>
        <c:crossAx val="-139706019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ru-RU"/>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Лист1!$A$3</c:f>
              <c:strCache>
                <c:ptCount val="1"/>
                <c:pt idx="0">
                  <c:v>Кредиты БВУ (млрд. тенге)</c:v>
                </c:pt>
              </c:strCache>
            </c:strRef>
          </c:tx>
          <c:spPr>
            <a:solidFill>
              <a:srgbClr val="4F81B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Лист1!$B$2:$E$2</c:f>
              <c:strCache>
                <c:ptCount val="4"/>
                <c:pt idx="0">
                  <c:v>2017 г.</c:v>
                </c:pt>
                <c:pt idx="1">
                  <c:v>2018 г.</c:v>
                </c:pt>
                <c:pt idx="2">
                  <c:v>2019 г.</c:v>
                </c:pt>
                <c:pt idx="3">
                  <c:v>2020 г.</c:v>
                </c:pt>
              </c:strCache>
            </c:strRef>
          </c:cat>
          <c:val>
            <c:numRef>
              <c:f>Лист1!$B$3:$E$3</c:f>
              <c:numCache>
                <c:formatCode>_-* #,##0_-;\-* #,##0_-;_-* "-"??_-;_-@_-</c:formatCode>
                <c:ptCount val="4"/>
                <c:pt idx="0">
                  <c:v>1153</c:v>
                </c:pt>
                <c:pt idx="1">
                  <c:v>1455</c:v>
                </c:pt>
                <c:pt idx="2">
                  <c:v>1691</c:v>
                </c:pt>
                <c:pt idx="3">
                  <c:v>1734.3610000000001</c:v>
                </c:pt>
              </c:numCache>
            </c:numRef>
          </c:val>
          <c:extLst>
            <c:ext xmlns:c16="http://schemas.microsoft.com/office/drawing/2014/chart" uri="{C3380CC4-5D6E-409C-BE32-E72D297353CC}">
              <c16:uniqueId val="{00000000-048A-4A60-ABBE-B097336FF17A}"/>
            </c:ext>
          </c:extLst>
        </c:ser>
        <c:ser>
          <c:idx val="1"/>
          <c:order val="1"/>
          <c:tx>
            <c:strRef>
              <c:f>Лист1!$A$4</c:f>
              <c:strCache>
                <c:ptCount val="1"/>
                <c:pt idx="0">
                  <c:v>в т.ч. по программам Фонда "Даму" (млрд. тенге)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Лист1!$B$2:$E$2</c:f>
              <c:strCache>
                <c:ptCount val="4"/>
                <c:pt idx="0">
                  <c:v>2017 г.</c:v>
                </c:pt>
                <c:pt idx="1">
                  <c:v>2018 г.</c:v>
                </c:pt>
                <c:pt idx="2">
                  <c:v>2019 г.</c:v>
                </c:pt>
                <c:pt idx="3">
                  <c:v>2020 г.</c:v>
                </c:pt>
              </c:strCache>
            </c:strRef>
          </c:cat>
          <c:val>
            <c:numRef>
              <c:f>Лист1!$B$4:$E$4</c:f>
              <c:numCache>
                <c:formatCode>_-* #,##0_-;\-* #,##0_-;_-* "-"??_-;_-@_-</c:formatCode>
                <c:ptCount val="4"/>
                <c:pt idx="0">
                  <c:v>198</c:v>
                </c:pt>
                <c:pt idx="1">
                  <c:v>203</c:v>
                </c:pt>
                <c:pt idx="2">
                  <c:v>237</c:v>
                </c:pt>
                <c:pt idx="3">
                  <c:v>373.07499999999999</c:v>
                </c:pt>
              </c:numCache>
            </c:numRef>
          </c:val>
          <c:extLst>
            <c:ext xmlns:c16="http://schemas.microsoft.com/office/drawing/2014/chart" uri="{C3380CC4-5D6E-409C-BE32-E72D297353CC}">
              <c16:uniqueId val="{00000001-048A-4A60-ABBE-B097336FF17A}"/>
            </c:ext>
          </c:extLst>
        </c:ser>
        <c:dLbls>
          <c:showLegendKey val="0"/>
          <c:showVal val="0"/>
          <c:showCatName val="0"/>
          <c:showSerName val="0"/>
          <c:showPercent val="0"/>
          <c:showBubbleSize val="0"/>
        </c:dLbls>
        <c:gapWidth val="50"/>
        <c:overlap val="-27"/>
        <c:axId val="-1397059648"/>
        <c:axId val="-1397057472"/>
      </c:barChart>
      <c:lineChart>
        <c:grouping val="standard"/>
        <c:varyColors val="0"/>
        <c:ser>
          <c:idx val="2"/>
          <c:order val="2"/>
          <c:tx>
            <c:strRef>
              <c:f>Лист1!$A$5</c:f>
              <c:strCache>
                <c:ptCount val="1"/>
                <c:pt idx="0">
                  <c:v>доля Фонда "Даму"</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j-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Лист1!$B$2:$E$2</c:f>
              <c:strCache>
                <c:ptCount val="4"/>
                <c:pt idx="0">
                  <c:v>2017 г.</c:v>
                </c:pt>
                <c:pt idx="1">
                  <c:v>2018 г.</c:v>
                </c:pt>
                <c:pt idx="2">
                  <c:v>2019 г.</c:v>
                </c:pt>
                <c:pt idx="3">
                  <c:v>2020 г.</c:v>
                </c:pt>
              </c:strCache>
            </c:strRef>
          </c:cat>
          <c:val>
            <c:numRef>
              <c:f>Лист1!$B$5:$E$5</c:f>
              <c:numCache>
                <c:formatCode>0%</c:formatCode>
                <c:ptCount val="4"/>
                <c:pt idx="0">
                  <c:v>0.1717259323503903</c:v>
                </c:pt>
                <c:pt idx="1">
                  <c:v>0.13951890034364262</c:v>
                </c:pt>
                <c:pt idx="2">
                  <c:v>0.140153755174453</c:v>
                </c:pt>
                <c:pt idx="3">
                  <c:v>0.21510804267393002</c:v>
                </c:pt>
              </c:numCache>
            </c:numRef>
          </c:val>
          <c:smooth val="0"/>
          <c:extLst>
            <c:ext xmlns:c16="http://schemas.microsoft.com/office/drawing/2014/chart" uri="{C3380CC4-5D6E-409C-BE32-E72D297353CC}">
              <c16:uniqueId val="{00000002-048A-4A60-ABBE-B097336FF17A}"/>
            </c:ext>
          </c:extLst>
        </c:ser>
        <c:dLbls>
          <c:showLegendKey val="0"/>
          <c:showVal val="0"/>
          <c:showCatName val="0"/>
          <c:showSerName val="0"/>
          <c:showPercent val="0"/>
          <c:showBubbleSize val="0"/>
        </c:dLbls>
        <c:marker val="1"/>
        <c:smooth val="0"/>
        <c:axId val="-1397056928"/>
        <c:axId val="-1397055840"/>
      </c:lineChart>
      <c:catAx>
        <c:axId val="-1397059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ru-RU"/>
          </a:p>
        </c:txPr>
        <c:crossAx val="-1397057472"/>
        <c:crosses val="autoZero"/>
        <c:auto val="1"/>
        <c:lblAlgn val="ctr"/>
        <c:lblOffset val="100"/>
        <c:noMultiLvlLbl val="0"/>
      </c:catAx>
      <c:valAx>
        <c:axId val="-1397057472"/>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ru-RU"/>
          </a:p>
        </c:txPr>
        <c:crossAx val="-1397059648"/>
        <c:crosses val="autoZero"/>
        <c:crossBetween val="between"/>
      </c:valAx>
      <c:valAx>
        <c:axId val="-1397055840"/>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ru-RU"/>
          </a:p>
        </c:txPr>
        <c:crossAx val="-1397056928"/>
        <c:crosses val="max"/>
        <c:crossBetween val="between"/>
      </c:valAx>
      <c:catAx>
        <c:axId val="-1397056928"/>
        <c:scaling>
          <c:orientation val="minMax"/>
        </c:scaling>
        <c:delete val="1"/>
        <c:axPos val="b"/>
        <c:numFmt formatCode="General" sourceLinked="1"/>
        <c:majorTickMark val="none"/>
        <c:minorTickMark val="none"/>
        <c:tickLblPos val="nextTo"/>
        <c:crossAx val="-13970558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mj-lt"/>
        </a:defRPr>
      </a:pPr>
      <a:endParaRPr lang="ru-RU"/>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a:gsLst>
                <a:gs pos="100000">
                  <a:schemeClr val="accent1">
                    <a:lumMod val="5000"/>
                    <a:lumOff val="95000"/>
                  </a:schemeClr>
                </a:gs>
                <a:gs pos="0">
                  <a:schemeClr val="accent6"/>
                </a:gs>
                <a:gs pos="100000">
                  <a:schemeClr val="accent1">
                    <a:lumMod val="45000"/>
                    <a:lumOff val="55000"/>
                  </a:schemeClr>
                </a:gs>
                <a:gs pos="100000">
                  <a:schemeClr val="accent1">
                    <a:lumMod val="30000"/>
                    <a:lumOff val="70000"/>
                  </a:schemeClr>
                </a:gs>
              </a:gsLst>
              <a:lin ang="5400000" scaled="1"/>
            </a:gradFill>
            <a:ln>
              <a:solidFill>
                <a:schemeClr val="accent1"/>
              </a:solid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Лист1!$B$2:$I$2</c:f>
              <c:strCache>
                <c:ptCount val="8"/>
                <c:pt idx="0">
                  <c:v>1997г.</c:v>
                </c:pt>
                <c:pt idx="1">
                  <c:v>2004г.</c:v>
                </c:pt>
                <c:pt idx="2">
                  <c:v>2005г.</c:v>
                </c:pt>
                <c:pt idx="3">
                  <c:v>2006г.</c:v>
                </c:pt>
                <c:pt idx="4">
                  <c:v>2007г.</c:v>
                </c:pt>
                <c:pt idx="5">
                  <c:v>2008г.</c:v>
                </c:pt>
                <c:pt idx="6">
                  <c:v>2012г.</c:v>
                </c:pt>
                <c:pt idx="7">
                  <c:v>2020г.</c:v>
                </c:pt>
              </c:strCache>
            </c:strRef>
          </c:cat>
          <c:val>
            <c:numRef>
              <c:f>Лист1!$B$3:$I$3</c:f>
              <c:numCache>
                <c:formatCode>_-* #,##0\ _₽_-;\-* #,##0\ _₽_-;_-* "-"??\ _₽_-;_-@_-</c:formatCode>
                <c:ptCount val="8"/>
                <c:pt idx="0">
                  <c:v>47537</c:v>
                </c:pt>
                <c:pt idx="1">
                  <c:v>4692958</c:v>
                </c:pt>
                <c:pt idx="2">
                  <c:v>13379778</c:v>
                </c:pt>
                <c:pt idx="3">
                  <c:v>10000000</c:v>
                </c:pt>
                <c:pt idx="4">
                  <c:v>9000000</c:v>
                </c:pt>
                <c:pt idx="5">
                  <c:v>7800000</c:v>
                </c:pt>
                <c:pt idx="6">
                  <c:v>28000000</c:v>
                </c:pt>
                <c:pt idx="7">
                  <c:v>30000000</c:v>
                </c:pt>
              </c:numCache>
            </c:numRef>
          </c:val>
          <c:extLst>
            <c:ext xmlns:c16="http://schemas.microsoft.com/office/drawing/2014/chart" uri="{C3380CC4-5D6E-409C-BE32-E72D297353CC}">
              <c16:uniqueId val="{00000000-BFA7-4805-AEAB-95DAF711C5DD}"/>
            </c:ext>
          </c:extLst>
        </c:ser>
        <c:dLbls>
          <c:showLegendKey val="0"/>
          <c:showVal val="0"/>
          <c:showCatName val="0"/>
          <c:showSerName val="0"/>
          <c:showPercent val="0"/>
          <c:showBubbleSize val="0"/>
        </c:dLbls>
        <c:gapWidth val="100"/>
        <c:axId val="-1397061280"/>
        <c:axId val="-1397070528"/>
      </c:barChart>
      <c:catAx>
        <c:axId val="-1397061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1397070528"/>
        <c:crosses val="autoZero"/>
        <c:auto val="1"/>
        <c:lblAlgn val="ctr"/>
        <c:lblOffset val="100"/>
        <c:noMultiLvlLbl val="0"/>
      </c:catAx>
      <c:valAx>
        <c:axId val="-1397070528"/>
        <c:scaling>
          <c:orientation val="minMax"/>
        </c:scaling>
        <c:delete val="0"/>
        <c:axPos val="l"/>
        <c:majorGridlines>
          <c:spPr>
            <a:ln w="9525" cap="flat" cmpd="sng" algn="ctr">
              <a:solidFill>
                <a:schemeClr val="tx1">
                  <a:lumMod val="15000"/>
                  <a:lumOff val="85000"/>
                </a:schemeClr>
              </a:solidFill>
              <a:round/>
            </a:ln>
            <a:effectLst/>
          </c:spPr>
        </c:majorGridlines>
        <c:numFmt formatCode="_-* #,##0\ _₽_-;\-* #,##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1397061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ru-RU"/>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2072150859887403E-2"/>
          <c:y val="7.3859968478659124E-2"/>
          <c:w val="0.64492044947560978"/>
          <c:h val="0.84213231402699673"/>
        </c:manualLayout>
      </c:layout>
      <c:barChart>
        <c:barDir val="col"/>
        <c:grouping val="clustered"/>
        <c:varyColors val="0"/>
        <c:ser>
          <c:idx val="0"/>
          <c:order val="0"/>
          <c:tx>
            <c:strRef>
              <c:f>'[Диаграмма в C  Users madina.nurusheva AppData Local Microsoft Windows INetCache Content.Outlook O7YDRBCN Стратегия актуализ проект_2021 (Ануар).doc]Лист1'!$B$4</c:f>
              <c:strCache>
                <c:ptCount val="1"/>
                <c:pt idx="0">
                  <c:v>Активы</c:v>
                </c:pt>
              </c:strCache>
            </c:strRef>
          </c:tx>
          <c:spPr>
            <a:solidFill>
              <a:srgbClr val="4472C4"/>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C  Users madina.nurusheva AppData Local Microsoft Windows INetCache Content.Outlook O7YDRBCN Стратегия актуализ проект_2021 (Ануар).doc]Лист1'!$A$5:$A$10</c:f>
              <c:strCache>
                <c:ptCount val="6"/>
                <c:pt idx="0">
                  <c:v>на 01.01.16</c:v>
                </c:pt>
                <c:pt idx="1">
                  <c:v>на 01.01.17</c:v>
                </c:pt>
                <c:pt idx="2">
                  <c:v>на 01.01.18</c:v>
                </c:pt>
                <c:pt idx="3">
                  <c:v>на 01.01.19</c:v>
                </c:pt>
                <c:pt idx="4">
                  <c:v>на 01.01.20</c:v>
                </c:pt>
                <c:pt idx="5">
                  <c:v>на 01.01.21</c:v>
                </c:pt>
              </c:strCache>
            </c:strRef>
          </c:cat>
          <c:val>
            <c:numRef>
              <c:f>'[Диаграмма в C  Users madina.nurusheva AppData Local Microsoft Windows INetCache Content.Outlook O7YDRBCN Стратегия актуализ проект_2021 (Ануар).doc]Лист1'!$B$5:$B$10</c:f>
              <c:numCache>
                <c:formatCode>_-* #\ ##0\ _₽_-;\-* #\ ##0\ _₽_-;_-* "-"??\ _₽_-;_-@_-</c:formatCode>
                <c:ptCount val="6"/>
                <c:pt idx="0">
                  <c:v>355306</c:v>
                </c:pt>
                <c:pt idx="1">
                  <c:v>349434</c:v>
                </c:pt>
                <c:pt idx="2">
                  <c:v>319913</c:v>
                </c:pt>
                <c:pt idx="3">
                  <c:v>304122</c:v>
                </c:pt>
                <c:pt idx="4">
                  <c:v>337504</c:v>
                </c:pt>
                <c:pt idx="5">
                  <c:v>358096</c:v>
                </c:pt>
              </c:numCache>
            </c:numRef>
          </c:val>
          <c:extLst>
            <c:ext xmlns:c16="http://schemas.microsoft.com/office/drawing/2014/chart" uri="{C3380CC4-5D6E-409C-BE32-E72D297353CC}">
              <c16:uniqueId val="{00000000-4B41-439C-83EF-932A67BACF54}"/>
            </c:ext>
          </c:extLst>
        </c:ser>
        <c:ser>
          <c:idx val="1"/>
          <c:order val="1"/>
          <c:tx>
            <c:strRef>
              <c:f>'[Диаграмма в C  Users madina.nurusheva AppData Local Microsoft Windows INetCache Content.Outlook O7YDRBCN Стратегия актуализ проект_2021 (Ануар).doc]Лист1'!$C$4</c:f>
              <c:strCache>
                <c:ptCount val="1"/>
                <c:pt idx="0">
                  <c:v>Обязательства</c:v>
                </c:pt>
              </c:strCache>
            </c:strRef>
          </c:tx>
          <c:spPr>
            <a:solidFill>
              <a:srgbClr val="FF0000"/>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C  Users madina.nurusheva AppData Local Microsoft Windows INetCache Content.Outlook O7YDRBCN Стратегия актуализ проект_2021 (Ануар).doc]Лист1'!$A$5:$A$10</c:f>
              <c:strCache>
                <c:ptCount val="6"/>
                <c:pt idx="0">
                  <c:v>на 01.01.16</c:v>
                </c:pt>
                <c:pt idx="1">
                  <c:v>на 01.01.17</c:v>
                </c:pt>
                <c:pt idx="2">
                  <c:v>на 01.01.18</c:v>
                </c:pt>
                <c:pt idx="3">
                  <c:v>на 01.01.19</c:v>
                </c:pt>
                <c:pt idx="4">
                  <c:v>на 01.01.20</c:v>
                </c:pt>
                <c:pt idx="5">
                  <c:v>на 01.01.21</c:v>
                </c:pt>
              </c:strCache>
            </c:strRef>
          </c:cat>
          <c:val>
            <c:numRef>
              <c:f>'[Диаграмма в C  Users madina.nurusheva AppData Local Microsoft Windows INetCache Content.Outlook O7YDRBCN Стратегия актуализ проект_2021 (Ануар).doc]Лист1'!$C$5:$C$10</c:f>
              <c:numCache>
                <c:formatCode>_-* #\ ##0\ _₽_-;\-* #\ ##0\ _₽_-;_-* "-"??\ _₽_-;_-@_-</c:formatCode>
                <c:ptCount val="6"/>
                <c:pt idx="0">
                  <c:v>260133</c:v>
                </c:pt>
                <c:pt idx="1">
                  <c:v>250729</c:v>
                </c:pt>
                <c:pt idx="2">
                  <c:v>218765</c:v>
                </c:pt>
                <c:pt idx="3">
                  <c:v>231601</c:v>
                </c:pt>
                <c:pt idx="4">
                  <c:v>251368</c:v>
                </c:pt>
                <c:pt idx="5">
                  <c:v>238423</c:v>
                </c:pt>
              </c:numCache>
            </c:numRef>
          </c:val>
          <c:extLst>
            <c:ext xmlns:c16="http://schemas.microsoft.com/office/drawing/2014/chart" uri="{C3380CC4-5D6E-409C-BE32-E72D297353CC}">
              <c16:uniqueId val="{00000001-4B41-439C-83EF-932A67BACF54}"/>
            </c:ext>
          </c:extLst>
        </c:ser>
        <c:dLbls>
          <c:showLegendKey val="0"/>
          <c:showVal val="0"/>
          <c:showCatName val="0"/>
          <c:showSerName val="0"/>
          <c:showPercent val="0"/>
          <c:showBubbleSize val="0"/>
        </c:dLbls>
        <c:gapWidth val="219"/>
        <c:axId val="-1397067808"/>
        <c:axId val="-1397069984"/>
      </c:barChart>
      <c:lineChart>
        <c:grouping val="stacked"/>
        <c:varyColors val="0"/>
        <c:ser>
          <c:idx val="2"/>
          <c:order val="2"/>
          <c:tx>
            <c:strRef>
              <c:f>'[Диаграмма в C  Users madina.nurusheva AppData Local Microsoft Windows INetCache Content.Outlook O7YDRBCN Стратегия актуализ проект_2021 (Ануар).doc]Лист1'!$D$4</c:f>
              <c:strCache>
                <c:ptCount val="1"/>
                <c:pt idx="0">
                  <c:v>Собственный капитал</c:v>
                </c:pt>
              </c:strCache>
            </c:strRef>
          </c:tx>
          <c:spPr>
            <a:ln w="28575" cap="rnd">
              <a:solidFill>
                <a:srgbClr val="92D050"/>
              </a:solidFill>
              <a:round/>
            </a:ln>
            <a:effectLst/>
          </c:spPr>
          <c:marker>
            <c:symbol val="none"/>
          </c:marker>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C  Users madina.nurusheva AppData Local Microsoft Windows INetCache Content.Outlook O7YDRBCN Стратегия актуализ проект_2021 (Ануар).doc]Лист1'!$A$5:$A$10</c:f>
              <c:strCache>
                <c:ptCount val="6"/>
                <c:pt idx="0">
                  <c:v>на 01.01.16</c:v>
                </c:pt>
                <c:pt idx="1">
                  <c:v>на 01.01.17</c:v>
                </c:pt>
                <c:pt idx="2">
                  <c:v>на 01.01.18</c:v>
                </c:pt>
                <c:pt idx="3">
                  <c:v>на 01.01.19</c:v>
                </c:pt>
                <c:pt idx="4">
                  <c:v>на 01.01.20</c:v>
                </c:pt>
                <c:pt idx="5">
                  <c:v>на 01.01.21</c:v>
                </c:pt>
              </c:strCache>
            </c:strRef>
          </c:cat>
          <c:val>
            <c:numRef>
              <c:f>'[Диаграмма в C  Users madina.nurusheva AppData Local Microsoft Windows INetCache Content.Outlook O7YDRBCN Стратегия актуализ проект_2021 (Ануар).doc]Лист1'!$D$5:$D$10</c:f>
              <c:numCache>
                <c:formatCode>_-* #\ ##0\ _₽_-;\-* #\ ##0\ _₽_-;_-* "-"??\ _₽_-;_-@_-</c:formatCode>
                <c:ptCount val="6"/>
                <c:pt idx="0">
                  <c:v>95173</c:v>
                </c:pt>
                <c:pt idx="1">
                  <c:v>98705</c:v>
                </c:pt>
                <c:pt idx="2">
                  <c:v>101148</c:v>
                </c:pt>
                <c:pt idx="3">
                  <c:v>72521</c:v>
                </c:pt>
                <c:pt idx="4">
                  <c:v>86136</c:v>
                </c:pt>
                <c:pt idx="5">
                  <c:v>119672</c:v>
                </c:pt>
              </c:numCache>
            </c:numRef>
          </c:val>
          <c:smooth val="0"/>
          <c:extLst>
            <c:ext xmlns:c16="http://schemas.microsoft.com/office/drawing/2014/chart" uri="{C3380CC4-5D6E-409C-BE32-E72D297353CC}">
              <c16:uniqueId val="{00000002-4B41-439C-83EF-932A67BACF54}"/>
            </c:ext>
          </c:extLst>
        </c:ser>
        <c:dLbls>
          <c:showLegendKey val="0"/>
          <c:showVal val="0"/>
          <c:showCatName val="0"/>
          <c:showSerName val="0"/>
          <c:showPercent val="0"/>
          <c:showBubbleSize val="0"/>
        </c:dLbls>
        <c:marker val="1"/>
        <c:smooth val="0"/>
        <c:axId val="-1397067808"/>
        <c:axId val="-1397069984"/>
      </c:lineChart>
      <c:catAx>
        <c:axId val="-139706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397069984"/>
        <c:crosses val="autoZero"/>
        <c:auto val="1"/>
        <c:lblAlgn val="ctr"/>
        <c:lblOffset val="100"/>
        <c:noMultiLvlLbl val="0"/>
      </c:catAx>
      <c:valAx>
        <c:axId val="-1397069984"/>
        <c:scaling>
          <c:orientation val="minMax"/>
        </c:scaling>
        <c:delete val="0"/>
        <c:axPos val="l"/>
        <c:majorGridlines>
          <c:spPr>
            <a:ln w="9525" cap="flat" cmpd="sng" algn="ctr">
              <a:solidFill>
                <a:schemeClr val="tx1">
                  <a:lumMod val="15000"/>
                  <a:lumOff val="85000"/>
                </a:schemeClr>
              </a:solidFill>
              <a:round/>
            </a:ln>
            <a:effectLst/>
          </c:spPr>
        </c:majorGridlines>
        <c:numFmt formatCode="_-* #\ ##0\ _₽_-;\-* #\ ##0\ _₽_-;_-* &quot;-&quot;??\ _₽_-;_-@_-"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397067808"/>
        <c:crosses val="autoZero"/>
        <c:crossBetween val="between"/>
      </c:valAx>
      <c:spPr>
        <a:noFill/>
        <a:ln w="25400">
          <a:noFill/>
        </a:ln>
      </c:spPr>
    </c:plotArea>
    <c:legend>
      <c:legendPos val="r"/>
      <c:layout>
        <c:manualLayout>
          <c:xMode val="edge"/>
          <c:yMode val="edge"/>
          <c:x val="0.20324450207743405"/>
          <c:y val="0.88934488065421402"/>
          <c:w val="0.58178738719665501"/>
          <c:h val="7.8215999275777784E-2"/>
        </c:manualLayout>
      </c:layout>
      <c:overlay val="0"/>
      <c:spPr>
        <a:noFill/>
        <a:ln w="25400">
          <a:noFill/>
        </a:ln>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8014246497927585E-2"/>
          <c:y val="6.3238203540627272E-2"/>
          <c:w val="0.889345518645137"/>
          <c:h val="0.69442527141935018"/>
        </c:manualLayout>
      </c:layout>
      <c:barChart>
        <c:barDir val="col"/>
        <c:grouping val="clustered"/>
        <c:varyColors val="0"/>
        <c:ser>
          <c:idx val="1"/>
          <c:order val="0"/>
          <c:tx>
            <c:strRef>
              <c:f>Стратегия!$B$5</c:f>
              <c:strCache>
                <c:ptCount val="1"/>
                <c:pt idx="0">
                  <c:v>Численность занятых в ММСП, тыс. чел.</c:v>
                </c:pt>
              </c:strCache>
            </c:strRef>
          </c:tx>
          <c:spPr>
            <a:solidFill>
              <a:schemeClr val="accent1"/>
            </a:solidFill>
          </c:spPr>
          <c:invertIfNegative val="0"/>
          <c:dLbls>
            <c:spPr>
              <a:noFill/>
              <a:ln>
                <a:noFill/>
              </a:ln>
              <a:effectLst/>
            </c:spPr>
            <c:txPr>
              <a:bodyPr/>
              <a:lstStyle/>
              <a:p>
                <a:pPr>
                  <a:defRPr sz="700"/>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Стратегия!$C$2:$M$2</c:f>
              <c:strCache>
                <c:ptCount val="11"/>
                <c:pt idx="0">
                  <c:v>2010 г.</c:v>
                </c:pt>
                <c:pt idx="1">
                  <c:v>2011 г.</c:v>
                </c:pt>
                <c:pt idx="2">
                  <c:v>2012 г.</c:v>
                </c:pt>
                <c:pt idx="3">
                  <c:v>2013 г.</c:v>
                </c:pt>
                <c:pt idx="4">
                  <c:v>2014 г.</c:v>
                </c:pt>
                <c:pt idx="5">
                  <c:v>2015 г.</c:v>
                </c:pt>
                <c:pt idx="6">
                  <c:v>2016 г.</c:v>
                </c:pt>
                <c:pt idx="7">
                  <c:v>2017 г.</c:v>
                </c:pt>
                <c:pt idx="8">
                  <c:v>2018 г.</c:v>
                </c:pt>
                <c:pt idx="9">
                  <c:v>2019 г.</c:v>
                </c:pt>
                <c:pt idx="10">
                  <c:v>2020 г.</c:v>
                </c:pt>
              </c:strCache>
            </c:strRef>
          </c:cat>
          <c:val>
            <c:numRef>
              <c:f>Стратегия!$C$5:$M$5</c:f>
              <c:numCache>
                <c:formatCode>#,##0</c:formatCode>
                <c:ptCount val="11"/>
                <c:pt idx="0">
                  <c:v>2630.58</c:v>
                </c:pt>
                <c:pt idx="1">
                  <c:v>2427.1350000000002</c:v>
                </c:pt>
                <c:pt idx="2">
                  <c:v>2383.3380000000002</c:v>
                </c:pt>
                <c:pt idx="3">
                  <c:v>2576.8989999999999</c:v>
                </c:pt>
                <c:pt idx="4">
                  <c:v>2810.962</c:v>
                </c:pt>
                <c:pt idx="5">
                  <c:v>3183.8440000000001</c:v>
                </c:pt>
                <c:pt idx="6">
                  <c:v>3166.7919999999999</c:v>
                </c:pt>
                <c:pt idx="7">
                  <c:v>3190.1329999999998</c:v>
                </c:pt>
                <c:pt idx="8">
                  <c:v>3267.7569999999996</c:v>
                </c:pt>
                <c:pt idx="9" formatCode="_-* #\ ##0\ _₽_-;\-* #\ ##0\ _₽_-;_-* &quot;-&quot;??\ _₽_-;_-@_-">
                  <c:v>3398.7860000000001</c:v>
                </c:pt>
                <c:pt idx="10" formatCode="_-* #\ ##0\ _₽_-;\-* #\ ##0\ _₽_-;_-* &quot;-&quot;??\ _₽_-;_-@_-">
                  <c:v>3472.6060000000002</c:v>
                </c:pt>
              </c:numCache>
            </c:numRef>
          </c:val>
          <c:extLst>
            <c:ext xmlns:c16="http://schemas.microsoft.com/office/drawing/2014/chart" uri="{C3380CC4-5D6E-409C-BE32-E72D297353CC}">
              <c16:uniqueId val="{00000000-6E21-41FD-85B1-6F0B0B58E671}"/>
            </c:ext>
          </c:extLst>
        </c:ser>
        <c:dLbls>
          <c:showLegendKey val="0"/>
          <c:showVal val="1"/>
          <c:showCatName val="0"/>
          <c:showSerName val="0"/>
          <c:showPercent val="0"/>
          <c:showBubbleSize val="0"/>
        </c:dLbls>
        <c:gapWidth val="150"/>
        <c:axId val="-1401148400"/>
        <c:axId val="-1401155472"/>
      </c:barChart>
      <c:lineChart>
        <c:grouping val="standard"/>
        <c:varyColors val="0"/>
        <c:ser>
          <c:idx val="2"/>
          <c:order val="1"/>
          <c:tx>
            <c:strRef>
              <c:f>Стратегия!$B$6</c:f>
              <c:strCache>
                <c:ptCount val="1"/>
                <c:pt idx="0">
                  <c:v>Доля ММСП в обеспечении занятости населения, %</c:v>
                </c:pt>
              </c:strCache>
            </c:strRef>
          </c:tx>
          <c:marker>
            <c:symbol val="none"/>
          </c:marker>
          <c:dLbls>
            <c:spPr>
              <a:noFill/>
              <a:ln>
                <a:noFill/>
              </a:ln>
              <a:effectLst/>
            </c:spPr>
            <c:txPr>
              <a:bodyPr/>
              <a:lstStyle/>
              <a:p>
                <a:pPr>
                  <a:defRPr sz="800" b="1"/>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Стратегия!$C$2:$M$2</c:f>
              <c:strCache>
                <c:ptCount val="11"/>
                <c:pt idx="0">
                  <c:v>2010 г.</c:v>
                </c:pt>
                <c:pt idx="1">
                  <c:v>2011 г.</c:v>
                </c:pt>
                <c:pt idx="2">
                  <c:v>2012 г.</c:v>
                </c:pt>
                <c:pt idx="3">
                  <c:v>2013 г.</c:v>
                </c:pt>
                <c:pt idx="4">
                  <c:v>2014 г.</c:v>
                </c:pt>
                <c:pt idx="5">
                  <c:v>2015 г.</c:v>
                </c:pt>
                <c:pt idx="6">
                  <c:v>2016 г.</c:v>
                </c:pt>
                <c:pt idx="7">
                  <c:v>2017 г.</c:v>
                </c:pt>
                <c:pt idx="8">
                  <c:v>2018 г.</c:v>
                </c:pt>
                <c:pt idx="9">
                  <c:v>2019 г.</c:v>
                </c:pt>
                <c:pt idx="10">
                  <c:v>2020 г.</c:v>
                </c:pt>
              </c:strCache>
            </c:strRef>
          </c:cat>
          <c:val>
            <c:numRef>
              <c:f>Стратегия!$C$6:$M$6</c:f>
              <c:numCache>
                <c:formatCode>_-* #\ ##0.0\ _₽_-;\-* #\ ##0.0\ _₽_-;_-* "-"??\ _₽_-;_-@_-</c:formatCode>
                <c:ptCount val="11"/>
                <c:pt idx="0">
                  <c:v>32.4</c:v>
                </c:pt>
                <c:pt idx="1">
                  <c:v>29.2</c:v>
                </c:pt>
                <c:pt idx="2">
                  <c:v>28</c:v>
                </c:pt>
                <c:pt idx="3">
                  <c:v>30.1</c:v>
                </c:pt>
                <c:pt idx="4">
                  <c:v>33</c:v>
                </c:pt>
                <c:pt idx="5">
                  <c:v>37.799999999999997</c:v>
                </c:pt>
                <c:pt idx="6">
                  <c:v>37</c:v>
                </c:pt>
                <c:pt idx="7">
                  <c:v>37.200000000000003</c:v>
                </c:pt>
                <c:pt idx="8">
                  <c:v>37.6</c:v>
                </c:pt>
                <c:pt idx="9">
                  <c:v>38.700000000000003</c:v>
                </c:pt>
                <c:pt idx="10">
                  <c:v>39.768553510977959</c:v>
                </c:pt>
              </c:numCache>
            </c:numRef>
          </c:val>
          <c:smooth val="0"/>
          <c:extLst>
            <c:ext xmlns:c16="http://schemas.microsoft.com/office/drawing/2014/chart" uri="{C3380CC4-5D6E-409C-BE32-E72D297353CC}">
              <c16:uniqueId val="{00000001-6E21-41FD-85B1-6F0B0B58E671}"/>
            </c:ext>
          </c:extLst>
        </c:ser>
        <c:dLbls>
          <c:showLegendKey val="0"/>
          <c:showVal val="1"/>
          <c:showCatName val="0"/>
          <c:showSerName val="0"/>
          <c:showPercent val="0"/>
          <c:showBubbleSize val="0"/>
        </c:dLbls>
        <c:marker val="1"/>
        <c:smooth val="0"/>
        <c:axId val="-1401157104"/>
        <c:axId val="-1401144592"/>
      </c:lineChart>
      <c:catAx>
        <c:axId val="-1401148400"/>
        <c:scaling>
          <c:orientation val="minMax"/>
        </c:scaling>
        <c:delete val="0"/>
        <c:axPos val="b"/>
        <c:numFmt formatCode="General" sourceLinked="1"/>
        <c:majorTickMark val="out"/>
        <c:minorTickMark val="none"/>
        <c:tickLblPos val="nextTo"/>
        <c:crossAx val="-1401155472"/>
        <c:crosses val="autoZero"/>
        <c:auto val="1"/>
        <c:lblAlgn val="ctr"/>
        <c:lblOffset val="100"/>
        <c:noMultiLvlLbl val="0"/>
      </c:catAx>
      <c:valAx>
        <c:axId val="-1401155472"/>
        <c:scaling>
          <c:orientation val="minMax"/>
        </c:scaling>
        <c:delete val="0"/>
        <c:axPos val="l"/>
        <c:majorGridlines/>
        <c:numFmt formatCode="#,##0" sourceLinked="1"/>
        <c:majorTickMark val="none"/>
        <c:minorTickMark val="none"/>
        <c:tickLblPos val="none"/>
        <c:crossAx val="-1401148400"/>
        <c:crosses val="autoZero"/>
        <c:crossBetween val="between"/>
      </c:valAx>
      <c:valAx>
        <c:axId val="-1401144592"/>
        <c:scaling>
          <c:orientation val="minMax"/>
        </c:scaling>
        <c:delete val="0"/>
        <c:axPos val="r"/>
        <c:numFmt formatCode="#,##0" sourceLinked="0"/>
        <c:majorTickMark val="out"/>
        <c:minorTickMark val="none"/>
        <c:tickLblPos val="nextTo"/>
        <c:crossAx val="-1401157104"/>
        <c:crosses val="max"/>
        <c:crossBetween val="between"/>
      </c:valAx>
      <c:catAx>
        <c:axId val="-1401157104"/>
        <c:scaling>
          <c:orientation val="minMax"/>
        </c:scaling>
        <c:delete val="1"/>
        <c:axPos val="b"/>
        <c:numFmt formatCode="General" sourceLinked="1"/>
        <c:majorTickMark val="out"/>
        <c:minorTickMark val="none"/>
        <c:tickLblPos val="nextTo"/>
        <c:crossAx val="-1401144592"/>
        <c:crosses val="autoZero"/>
        <c:auto val="1"/>
        <c:lblAlgn val="ctr"/>
        <c:lblOffset val="100"/>
        <c:noMultiLvlLbl val="0"/>
      </c:catAx>
    </c:plotArea>
    <c:legend>
      <c:legendPos val="b"/>
      <c:layout>
        <c:manualLayout>
          <c:xMode val="edge"/>
          <c:yMode val="edge"/>
          <c:x val="4.7735892388451447E-2"/>
          <c:y val="0.84174556605993944"/>
          <c:w val="0.91419442066925027"/>
          <c:h val="0.13036430446194225"/>
        </c:manualLayout>
      </c:layout>
      <c:overlay val="0"/>
    </c:legend>
    <c:plotVisOnly val="1"/>
    <c:dispBlanksAs val="gap"/>
    <c:showDLblsOverMax val="0"/>
  </c:chart>
  <c:spPr>
    <a:ln>
      <a:noFill/>
    </a:ln>
  </c:spPr>
  <c:txPr>
    <a:bodyPr/>
    <a:lstStyle/>
    <a:p>
      <a:pPr>
        <a:defRPr sz="600">
          <a:latin typeface="Arial" pitchFamily="34" charset="0"/>
          <a:cs typeface="Arial" pitchFamily="34"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8014246497927585E-2"/>
          <c:y val="6.3238203540627272E-2"/>
          <c:w val="0.889345518645137"/>
          <c:h val="0.69442527141935018"/>
        </c:manualLayout>
      </c:layout>
      <c:barChart>
        <c:barDir val="col"/>
        <c:grouping val="clustered"/>
        <c:varyColors val="0"/>
        <c:ser>
          <c:idx val="1"/>
          <c:order val="0"/>
          <c:tx>
            <c:strRef>
              <c:f>Стратегия!$B$7</c:f>
              <c:strCache>
                <c:ptCount val="1"/>
                <c:pt idx="0">
                  <c:v>Выпуск продукции ММСП, млрд. тенге</c:v>
                </c:pt>
              </c:strCache>
            </c:strRef>
          </c:tx>
          <c:spPr>
            <a:solidFill>
              <a:schemeClr val="accent1"/>
            </a:solidFill>
          </c:spPr>
          <c:invertIfNegative val="0"/>
          <c:dLbls>
            <c:spPr>
              <a:noFill/>
              <a:ln>
                <a:noFill/>
              </a:ln>
              <a:effectLst/>
            </c:spPr>
            <c:txPr>
              <a:bodyPr/>
              <a:lstStyle/>
              <a:p>
                <a:pPr>
                  <a:defRPr sz="700"/>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Стратегия!$C$2:$M$2</c:f>
              <c:strCache>
                <c:ptCount val="11"/>
                <c:pt idx="0">
                  <c:v>2010 г.</c:v>
                </c:pt>
                <c:pt idx="1">
                  <c:v>2011 г.</c:v>
                </c:pt>
                <c:pt idx="2">
                  <c:v>2012 г.</c:v>
                </c:pt>
                <c:pt idx="3">
                  <c:v>2013 г.</c:v>
                </c:pt>
                <c:pt idx="4">
                  <c:v>2014 г.</c:v>
                </c:pt>
                <c:pt idx="5">
                  <c:v>2015 г.</c:v>
                </c:pt>
                <c:pt idx="6">
                  <c:v>2016 г.</c:v>
                </c:pt>
                <c:pt idx="7">
                  <c:v>2017 г.</c:v>
                </c:pt>
                <c:pt idx="8">
                  <c:v>2018 г.</c:v>
                </c:pt>
                <c:pt idx="9">
                  <c:v>2019 г.</c:v>
                </c:pt>
                <c:pt idx="10">
                  <c:v>2020 г.</c:v>
                </c:pt>
              </c:strCache>
            </c:strRef>
          </c:cat>
          <c:val>
            <c:numRef>
              <c:f>Стратегия!$C$7:$M$7</c:f>
              <c:numCache>
                <c:formatCode>#,##0</c:formatCode>
                <c:ptCount val="11"/>
                <c:pt idx="0">
                  <c:v>7276</c:v>
                </c:pt>
                <c:pt idx="1">
                  <c:v>7604</c:v>
                </c:pt>
                <c:pt idx="2">
                  <c:v>8255</c:v>
                </c:pt>
                <c:pt idx="3">
                  <c:v>9165</c:v>
                </c:pt>
                <c:pt idx="4">
                  <c:v>15568</c:v>
                </c:pt>
                <c:pt idx="5">
                  <c:v>15699</c:v>
                </c:pt>
                <c:pt idx="6">
                  <c:v>19609</c:v>
                </c:pt>
                <c:pt idx="7">
                  <c:v>23241</c:v>
                </c:pt>
                <c:pt idx="8">
                  <c:v>26490</c:v>
                </c:pt>
                <c:pt idx="9" formatCode="_-* #\ ##0\ _₽_-;\-* #\ ##0\ _₽_-;_-* &quot;-&quot;??\ _₽_-;_-@_-">
                  <c:v>31203.1</c:v>
                </c:pt>
                <c:pt idx="10" formatCode="_-* #\ ##0\ _₽_-;\-* #\ ##0\ _₽_-;_-* &quot;-&quot;??\ _₽_-;_-@_-">
                  <c:v>32725.46</c:v>
                </c:pt>
              </c:numCache>
            </c:numRef>
          </c:val>
          <c:extLst>
            <c:ext xmlns:c16="http://schemas.microsoft.com/office/drawing/2014/chart" uri="{C3380CC4-5D6E-409C-BE32-E72D297353CC}">
              <c16:uniqueId val="{00000000-3BF5-413F-8CA8-B2FFDD0E78D6}"/>
            </c:ext>
          </c:extLst>
        </c:ser>
        <c:dLbls>
          <c:showLegendKey val="0"/>
          <c:showVal val="1"/>
          <c:showCatName val="0"/>
          <c:showSerName val="0"/>
          <c:showPercent val="0"/>
          <c:showBubbleSize val="0"/>
        </c:dLbls>
        <c:gapWidth val="150"/>
        <c:axId val="-1401144048"/>
        <c:axId val="-1401153840"/>
      </c:barChart>
      <c:lineChart>
        <c:grouping val="standard"/>
        <c:varyColors val="0"/>
        <c:ser>
          <c:idx val="2"/>
          <c:order val="1"/>
          <c:tx>
            <c:strRef>
              <c:f>Стратегия!$B$8</c:f>
              <c:strCache>
                <c:ptCount val="1"/>
                <c:pt idx="0">
                  <c:v>Доля ВДС ММСП в ВВП, %</c:v>
                </c:pt>
              </c:strCache>
            </c:strRef>
          </c:tx>
          <c:marker>
            <c:symbol val="none"/>
          </c:marker>
          <c:dLbls>
            <c:spPr>
              <a:noFill/>
              <a:ln>
                <a:noFill/>
              </a:ln>
              <a:effectLst/>
            </c:spPr>
            <c:txPr>
              <a:bodyPr/>
              <a:lstStyle/>
              <a:p>
                <a:pPr>
                  <a:defRPr sz="800" b="1"/>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Стратегия!$C$2:$M$2</c:f>
              <c:strCache>
                <c:ptCount val="11"/>
                <c:pt idx="0">
                  <c:v>2010 г.</c:v>
                </c:pt>
                <c:pt idx="1">
                  <c:v>2011 г.</c:v>
                </c:pt>
                <c:pt idx="2">
                  <c:v>2012 г.</c:v>
                </c:pt>
                <c:pt idx="3">
                  <c:v>2013 г.</c:v>
                </c:pt>
                <c:pt idx="4">
                  <c:v>2014 г.</c:v>
                </c:pt>
                <c:pt idx="5">
                  <c:v>2015 г.</c:v>
                </c:pt>
                <c:pt idx="6">
                  <c:v>2016 г.</c:v>
                </c:pt>
                <c:pt idx="7">
                  <c:v>2017 г.</c:v>
                </c:pt>
                <c:pt idx="8">
                  <c:v>2018 г.</c:v>
                </c:pt>
                <c:pt idx="9">
                  <c:v>2019 г.</c:v>
                </c:pt>
                <c:pt idx="10">
                  <c:v>2020 г.</c:v>
                </c:pt>
              </c:strCache>
            </c:strRef>
          </c:cat>
          <c:val>
            <c:numRef>
              <c:f>Стратегия!$C$8:$M$8</c:f>
              <c:numCache>
                <c:formatCode>General</c:formatCode>
                <c:ptCount val="11"/>
                <c:pt idx="0" formatCode="#\ ##0.0">
                  <c:v>20.6</c:v>
                </c:pt>
                <c:pt idx="1">
                  <c:v>17.3</c:v>
                </c:pt>
                <c:pt idx="2">
                  <c:v>17.100000000000001</c:v>
                </c:pt>
                <c:pt idx="3">
                  <c:v>16.7</c:v>
                </c:pt>
                <c:pt idx="4">
                  <c:v>25.9</c:v>
                </c:pt>
                <c:pt idx="5">
                  <c:v>24.9</c:v>
                </c:pt>
                <c:pt idx="6">
                  <c:v>26.8</c:v>
                </c:pt>
                <c:pt idx="7">
                  <c:v>26.8</c:v>
                </c:pt>
                <c:pt idx="8">
                  <c:v>28.3</c:v>
                </c:pt>
                <c:pt idx="9" formatCode="_-* #\ ##0.0\ _₽_-;\-* #\ ##0.0\ _₽_-;_-* &quot;-&quot;??\ _₽_-;_-@_-">
                  <c:v>30.8</c:v>
                </c:pt>
                <c:pt idx="10" formatCode="_-* #\ ##0.0\ _₽_-;\-* #\ ##0.0\ _₽_-;_-* &quot;-&quot;??\ _₽_-;_-@_-">
                  <c:v>31.6</c:v>
                </c:pt>
              </c:numCache>
            </c:numRef>
          </c:val>
          <c:smooth val="0"/>
          <c:extLst>
            <c:ext xmlns:c16="http://schemas.microsoft.com/office/drawing/2014/chart" uri="{C3380CC4-5D6E-409C-BE32-E72D297353CC}">
              <c16:uniqueId val="{00000001-3BF5-413F-8CA8-B2FFDD0E78D6}"/>
            </c:ext>
          </c:extLst>
        </c:ser>
        <c:dLbls>
          <c:showLegendKey val="0"/>
          <c:showVal val="1"/>
          <c:showCatName val="0"/>
          <c:showSerName val="0"/>
          <c:showPercent val="0"/>
          <c:showBubbleSize val="0"/>
        </c:dLbls>
        <c:marker val="1"/>
        <c:smooth val="0"/>
        <c:axId val="-2052428032"/>
        <c:axId val="-2052429664"/>
      </c:lineChart>
      <c:catAx>
        <c:axId val="-1401144048"/>
        <c:scaling>
          <c:orientation val="minMax"/>
        </c:scaling>
        <c:delete val="0"/>
        <c:axPos val="b"/>
        <c:numFmt formatCode="General" sourceLinked="1"/>
        <c:majorTickMark val="out"/>
        <c:minorTickMark val="none"/>
        <c:tickLblPos val="nextTo"/>
        <c:crossAx val="-1401153840"/>
        <c:crosses val="autoZero"/>
        <c:auto val="1"/>
        <c:lblAlgn val="ctr"/>
        <c:lblOffset val="100"/>
        <c:noMultiLvlLbl val="0"/>
      </c:catAx>
      <c:valAx>
        <c:axId val="-1401153840"/>
        <c:scaling>
          <c:orientation val="minMax"/>
        </c:scaling>
        <c:delete val="0"/>
        <c:axPos val="l"/>
        <c:majorGridlines/>
        <c:numFmt formatCode="#,##0" sourceLinked="1"/>
        <c:majorTickMark val="none"/>
        <c:minorTickMark val="none"/>
        <c:tickLblPos val="none"/>
        <c:crossAx val="-1401144048"/>
        <c:crosses val="autoZero"/>
        <c:crossBetween val="between"/>
      </c:valAx>
      <c:valAx>
        <c:axId val="-2052429664"/>
        <c:scaling>
          <c:orientation val="minMax"/>
        </c:scaling>
        <c:delete val="0"/>
        <c:axPos val="r"/>
        <c:numFmt formatCode="#,##0" sourceLinked="0"/>
        <c:majorTickMark val="out"/>
        <c:minorTickMark val="none"/>
        <c:tickLblPos val="nextTo"/>
        <c:crossAx val="-2052428032"/>
        <c:crosses val="max"/>
        <c:crossBetween val="between"/>
      </c:valAx>
      <c:catAx>
        <c:axId val="-2052428032"/>
        <c:scaling>
          <c:orientation val="minMax"/>
        </c:scaling>
        <c:delete val="1"/>
        <c:axPos val="b"/>
        <c:numFmt formatCode="General" sourceLinked="1"/>
        <c:majorTickMark val="out"/>
        <c:minorTickMark val="none"/>
        <c:tickLblPos val="nextTo"/>
        <c:crossAx val="-2052429664"/>
        <c:crosses val="autoZero"/>
        <c:auto val="1"/>
        <c:lblAlgn val="ctr"/>
        <c:lblOffset val="100"/>
        <c:noMultiLvlLbl val="0"/>
      </c:catAx>
    </c:plotArea>
    <c:legend>
      <c:legendPos val="b"/>
      <c:layout>
        <c:manualLayout>
          <c:xMode val="edge"/>
          <c:yMode val="edge"/>
          <c:x val="4.7735892388451447E-2"/>
          <c:y val="0.84174556605993944"/>
          <c:w val="0.91419442066925027"/>
          <c:h val="0.13036430446194225"/>
        </c:manualLayout>
      </c:layout>
      <c:overlay val="0"/>
    </c:legend>
    <c:plotVisOnly val="1"/>
    <c:dispBlanksAs val="gap"/>
    <c:showDLblsOverMax val="0"/>
  </c:chart>
  <c:spPr>
    <a:ln>
      <a:noFill/>
    </a:ln>
  </c:spPr>
  <c:txPr>
    <a:bodyPr/>
    <a:lstStyle/>
    <a:p>
      <a:pPr>
        <a:defRPr sz="600">
          <a:latin typeface="Arial" pitchFamily="34" charset="0"/>
          <a:cs typeface="Arial" pitchFamily="34"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8014246497927585E-2"/>
          <c:y val="6.3238203540627272E-2"/>
          <c:w val="0.889345518645137"/>
          <c:h val="0.69442527141935018"/>
        </c:manualLayout>
      </c:layout>
      <c:barChart>
        <c:barDir val="col"/>
        <c:grouping val="clustered"/>
        <c:varyColors val="0"/>
        <c:ser>
          <c:idx val="1"/>
          <c:order val="0"/>
          <c:tx>
            <c:strRef>
              <c:f>Стратегия!$B$9</c:f>
              <c:strCache>
                <c:ptCount val="1"/>
                <c:pt idx="0">
                  <c:v>КПН малых предприятий, млрд. тенге</c:v>
                </c:pt>
              </c:strCache>
            </c:strRef>
          </c:tx>
          <c:spPr>
            <a:solidFill>
              <a:schemeClr val="accent1"/>
            </a:solidFill>
          </c:spPr>
          <c:invertIfNegative val="0"/>
          <c:dLbls>
            <c:spPr>
              <a:noFill/>
              <a:ln>
                <a:noFill/>
              </a:ln>
              <a:effectLst/>
            </c:spPr>
            <c:txPr>
              <a:bodyPr/>
              <a:lstStyle/>
              <a:p>
                <a:pPr>
                  <a:defRPr sz="800"/>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Стратегия!$C$2:$M$2</c:f>
              <c:strCache>
                <c:ptCount val="11"/>
                <c:pt idx="0">
                  <c:v>2010 г.</c:v>
                </c:pt>
                <c:pt idx="1">
                  <c:v>2011 г.</c:v>
                </c:pt>
                <c:pt idx="2">
                  <c:v>2012 г.</c:v>
                </c:pt>
                <c:pt idx="3">
                  <c:v>2013 г.</c:v>
                </c:pt>
                <c:pt idx="4">
                  <c:v>2014 г.</c:v>
                </c:pt>
                <c:pt idx="5">
                  <c:v>2015 г.</c:v>
                </c:pt>
                <c:pt idx="6">
                  <c:v>2016 г.</c:v>
                </c:pt>
                <c:pt idx="7">
                  <c:v>2017 г.</c:v>
                </c:pt>
                <c:pt idx="8">
                  <c:v>2018 г.</c:v>
                </c:pt>
                <c:pt idx="9">
                  <c:v>2019 г.</c:v>
                </c:pt>
                <c:pt idx="10">
                  <c:v>2020 г.</c:v>
                </c:pt>
              </c:strCache>
            </c:strRef>
          </c:cat>
          <c:val>
            <c:numRef>
              <c:f>Стратегия!$C$9:$M$9</c:f>
              <c:numCache>
                <c:formatCode>#,##0</c:formatCode>
                <c:ptCount val="11"/>
                <c:pt idx="0">
                  <c:v>164</c:v>
                </c:pt>
                <c:pt idx="1">
                  <c:v>190</c:v>
                </c:pt>
                <c:pt idx="2">
                  <c:v>177</c:v>
                </c:pt>
                <c:pt idx="3">
                  <c:v>322</c:v>
                </c:pt>
                <c:pt idx="4">
                  <c:v>399</c:v>
                </c:pt>
                <c:pt idx="5">
                  <c:v>506</c:v>
                </c:pt>
                <c:pt idx="6">
                  <c:v>491</c:v>
                </c:pt>
                <c:pt idx="7">
                  <c:v>629</c:v>
                </c:pt>
                <c:pt idx="8">
                  <c:v>840</c:v>
                </c:pt>
                <c:pt idx="9">
                  <c:v>981</c:v>
                </c:pt>
                <c:pt idx="10" formatCode="_-* #\ ##0\ _₽_-;\-* #\ ##0\ _₽_-;_-* &quot;-&quot;??\ _₽_-;_-@_-">
                  <c:v>669.16316300000005</c:v>
                </c:pt>
              </c:numCache>
            </c:numRef>
          </c:val>
          <c:extLst>
            <c:ext xmlns:c16="http://schemas.microsoft.com/office/drawing/2014/chart" uri="{C3380CC4-5D6E-409C-BE32-E72D297353CC}">
              <c16:uniqueId val="{00000000-2644-4761-A565-64E9AA98B7D3}"/>
            </c:ext>
          </c:extLst>
        </c:ser>
        <c:dLbls>
          <c:showLegendKey val="0"/>
          <c:showVal val="1"/>
          <c:showCatName val="0"/>
          <c:showSerName val="0"/>
          <c:showPercent val="0"/>
          <c:showBubbleSize val="0"/>
        </c:dLbls>
        <c:gapWidth val="150"/>
        <c:axId val="-2052453600"/>
        <c:axId val="-2052444352"/>
      </c:barChart>
      <c:lineChart>
        <c:grouping val="standard"/>
        <c:varyColors val="0"/>
        <c:ser>
          <c:idx val="2"/>
          <c:order val="1"/>
          <c:tx>
            <c:strRef>
              <c:f>Стратегия!$B$10</c:f>
              <c:strCache>
                <c:ptCount val="1"/>
                <c:pt idx="0">
                  <c:v>Доля КПН малых предприятий в общих поступлениях КПН, %</c:v>
                </c:pt>
              </c:strCache>
            </c:strRef>
          </c:tx>
          <c:marker>
            <c:symbol val="none"/>
          </c:marker>
          <c:dLbls>
            <c:spPr>
              <a:noFill/>
              <a:ln>
                <a:noFill/>
              </a:ln>
              <a:effectLst/>
            </c:spPr>
            <c:txPr>
              <a:bodyPr/>
              <a:lstStyle/>
              <a:p>
                <a:pPr>
                  <a:defRPr sz="800" b="1"/>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Стратегия!$C$2:$M$2</c:f>
              <c:strCache>
                <c:ptCount val="11"/>
                <c:pt idx="0">
                  <c:v>2010 г.</c:v>
                </c:pt>
                <c:pt idx="1">
                  <c:v>2011 г.</c:v>
                </c:pt>
                <c:pt idx="2">
                  <c:v>2012 г.</c:v>
                </c:pt>
                <c:pt idx="3">
                  <c:v>2013 г.</c:v>
                </c:pt>
                <c:pt idx="4">
                  <c:v>2014 г.</c:v>
                </c:pt>
                <c:pt idx="5">
                  <c:v>2015 г.</c:v>
                </c:pt>
                <c:pt idx="6">
                  <c:v>2016 г.</c:v>
                </c:pt>
                <c:pt idx="7">
                  <c:v>2017 г.</c:v>
                </c:pt>
                <c:pt idx="8">
                  <c:v>2018 г.</c:v>
                </c:pt>
                <c:pt idx="9">
                  <c:v>2019 г.</c:v>
                </c:pt>
                <c:pt idx="10">
                  <c:v>2020 г.</c:v>
                </c:pt>
              </c:strCache>
            </c:strRef>
          </c:cat>
          <c:val>
            <c:numRef>
              <c:f>Стратегия!$C$10:$M$10</c:f>
              <c:numCache>
                <c:formatCode>#\ ##0.0</c:formatCode>
                <c:ptCount val="11"/>
                <c:pt idx="0">
                  <c:v>10.8</c:v>
                </c:pt>
                <c:pt idx="1">
                  <c:v>9.3000000000000007</c:v>
                </c:pt>
                <c:pt idx="2">
                  <c:v>8.5</c:v>
                </c:pt>
                <c:pt idx="3">
                  <c:v>16.899999999999999</c:v>
                </c:pt>
                <c:pt idx="4">
                  <c:v>19.7</c:v>
                </c:pt>
                <c:pt idx="5">
                  <c:v>29.3</c:v>
                </c:pt>
                <c:pt idx="6">
                  <c:v>29.4</c:v>
                </c:pt>
                <c:pt idx="7">
                  <c:v>26.2</c:v>
                </c:pt>
                <c:pt idx="8">
                  <c:v>26.6</c:v>
                </c:pt>
                <c:pt idx="9">
                  <c:v>30.4</c:v>
                </c:pt>
                <c:pt idx="10" formatCode="_-* #\ ##0.0\ _₽_-;\-* #\ ##0.0\ _₽_-;_-* &quot;-&quot;??\ _₽_-;_-@_-">
                  <c:v>42.918884490255657</c:v>
                </c:pt>
              </c:numCache>
            </c:numRef>
          </c:val>
          <c:smooth val="0"/>
          <c:extLst>
            <c:ext xmlns:c16="http://schemas.microsoft.com/office/drawing/2014/chart" uri="{C3380CC4-5D6E-409C-BE32-E72D297353CC}">
              <c16:uniqueId val="{00000001-2644-4761-A565-64E9AA98B7D3}"/>
            </c:ext>
          </c:extLst>
        </c:ser>
        <c:dLbls>
          <c:showLegendKey val="0"/>
          <c:showVal val="1"/>
          <c:showCatName val="0"/>
          <c:showSerName val="0"/>
          <c:showPercent val="0"/>
          <c:showBubbleSize val="0"/>
        </c:dLbls>
        <c:marker val="1"/>
        <c:smooth val="0"/>
        <c:axId val="-2052441088"/>
        <c:axId val="-2052449792"/>
      </c:lineChart>
      <c:catAx>
        <c:axId val="-2052453600"/>
        <c:scaling>
          <c:orientation val="minMax"/>
        </c:scaling>
        <c:delete val="0"/>
        <c:axPos val="b"/>
        <c:numFmt formatCode="General" sourceLinked="1"/>
        <c:majorTickMark val="out"/>
        <c:minorTickMark val="none"/>
        <c:tickLblPos val="nextTo"/>
        <c:crossAx val="-2052444352"/>
        <c:crosses val="autoZero"/>
        <c:auto val="1"/>
        <c:lblAlgn val="ctr"/>
        <c:lblOffset val="100"/>
        <c:noMultiLvlLbl val="0"/>
      </c:catAx>
      <c:valAx>
        <c:axId val="-2052444352"/>
        <c:scaling>
          <c:orientation val="minMax"/>
        </c:scaling>
        <c:delete val="0"/>
        <c:axPos val="l"/>
        <c:majorGridlines/>
        <c:numFmt formatCode="#,##0" sourceLinked="1"/>
        <c:majorTickMark val="none"/>
        <c:minorTickMark val="none"/>
        <c:tickLblPos val="none"/>
        <c:crossAx val="-2052453600"/>
        <c:crosses val="autoZero"/>
        <c:crossBetween val="between"/>
      </c:valAx>
      <c:valAx>
        <c:axId val="-2052449792"/>
        <c:scaling>
          <c:orientation val="minMax"/>
        </c:scaling>
        <c:delete val="0"/>
        <c:axPos val="r"/>
        <c:numFmt formatCode="#,##0" sourceLinked="0"/>
        <c:majorTickMark val="out"/>
        <c:minorTickMark val="none"/>
        <c:tickLblPos val="nextTo"/>
        <c:crossAx val="-2052441088"/>
        <c:crosses val="max"/>
        <c:crossBetween val="between"/>
      </c:valAx>
      <c:catAx>
        <c:axId val="-2052441088"/>
        <c:scaling>
          <c:orientation val="minMax"/>
        </c:scaling>
        <c:delete val="1"/>
        <c:axPos val="b"/>
        <c:numFmt formatCode="General" sourceLinked="1"/>
        <c:majorTickMark val="out"/>
        <c:minorTickMark val="none"/>
        <c:tickLblPos val="nextTo"/>
        <c:crossAx val="-2052449792"/>
        <c:crosses val="autoZero"/>
        <c:auto val="1"/>
        <c:lblAlgn val="ctr"/>
        <c:lblOffset val="100"/>
        <c:noMultiLvlLbl val="0"/>
      </c:catAx>
    </c:plotArea>
    <c:legend>
      <c:legendPos val="b"/>
      <c:layout>
        <c:manualLayout>
          <c:xMode val="edge"/>
          <c:yMode val="edge"/>
          <c:x val="4.7735892388451447E-2"/>
          <c:y val="0.84174556605993944"/>
          <c:w val="0.91419442066925027"/>
          <c:h val="0.13036430446194225"/>
        </c:manualLayout>
      </c:layout>
      <c:overlay val="0"/>
    </c:legend>
    <c:plotVisOnly val="1"/>
    <c:dispBlanksAs val="gap"/>
    <c:showDLblsOverMax val="0"/>
  </c:chart>
  <c:spPr>
    <a:ln>
      <a:noFill/>
    </a:ln>
  </c:spPr>
  <c:txPr>
    <a:bodyPr/>
    <a:lstStyle/>
    <a:p>
      <a:pPr>
        <a:defRPr sz="600">
          <a:latin typeface="Arial" pitchFamily="34" charset="0"/>
          <a:cs typeface="Arial" pitchFamily="34"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Стратегия!$B$24</c:f>
              <c:strCache>
                <c:ptCount val="1"/>
                <c:pt idx="0">
                  <c:v>ИП и КХ</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Стратегия!$C$23:$D$23</c:f>
              <c:strCache>
                <c:ptCount val="2"/>
                <c:pt idx="0">
                  <c:v>2010 г.</c:v>
                </c:pt>
                <c:pt idx="1">
                  <c:v>2020 г.</c:v>
                </c:pt>
              </c:strCache>
            </c:strRef>
          </c:cat>
          <c:val>
            <c:numRef>
              <c:f>Стратегия!$C$24:$D$24</c:f>
              <c:numCache>
                <c:formatCode>0.0%</c:formatCode>
                <c:ptCount val="2"/>
                <c:pt idx="0">
                  <c:v>0.81899999999999995</c:v>
                </c:pt>
                <c:pt idx="1">
                  <c:v>0.75069047051343185</c:v>
                </c:pt>
              </c:numCache>
            </c:numRef>
          </c:val>
          <c:extLst>
            <c:ext xmlns:c16="http://schemas.microsoft.com/office/drawing/2014/chart" uri="{C3380CC4-5D6E-409C-BE32-E72D297353CC}">
              <c16:uniqueId val="{00000000-AA4D-448A-B3D8-1D629708B3CA}"/>
            </c:ext>
          </c:extLst>
        </c:ser>
        <c:ser>
          <c:idx val="1"/>
          <c:order val="1"/>
          <c:tx>
            <c:strRef>
              <c:f>Стратегия!$B$25</c:f>
              <c:strCache>
                <c:ptCount val="1"/>
                <c:pt idx="0">
                  <c:v>Юр.лица ММСП</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Стратегия!$C$23:$D$23</c:f>
              <c:strCache>
                <c:ptCount val="2"/>
                <c:pt idx="0">
                  <c:v>2010 г.</c:v>
                </c:pt>
                <c:pt idx="1">
                  <c:v>2020 г.</c:v>
                </c:pt>
              </c:strCache>
            </c:strRef>
          </c:cat>
          <c:val>
            <c:numRef>
              <c:f>Стратегия!$C$25:$D$25</c:f>
              <c:numCache>
                <c:formatCode>0.0%</c:formatCode>
                <c:ptCount val="2"/>
                <c:pt idx="0">
                  <c:v>0.18099999999999999</c:v>
                </c:pt>
                <c:pt idx="1">
                  <c:v>0.24930952948656812</c:v>
                </c:pt>
              </c:numCache>
            </c:numRef>
          </c:val>
          <c:extLst>
            <c:ext xmlns:c16="http://schemas.microsoft.com/office/drawing/2014/chart" uri="{C3380CC4-5D6E-409C-BE32-E72D297353CC}">
              <c16:uniqueId val="{00000001-AA4D-448A-B3D8-1D629708B3CA}"/>
            </c:ext>
          </c:extLst>
        </c:ser>
        <c:dLbls>
          <c:showLegendKey val="0"/>
          <c:showVal val="0"/>
          <c:showCatName val="0"/>
          <c:showSerName val="0"/>
          <c:showPercent val="0"/>
          <c:showBubbleSize val="0"/>
        </c:dLbls>
        <c:gapWidth val="150"/>
        <c:overlap val="100"/>
        <c:axId val="-2052429120"/>
        <c:axId val="-2052452512"/>
      </c:barChart>
      <c:catAx>
        <c:axId val="-2052429120"/>
        <c:scaling>
          <c:orientation val="minMax"/>
        </c:scaling>
        <c:delete val="0"/>
        <c:axPos val="b"/>
        <c:numFmt formatCode="General" sourceLinked="0"/>
        <c:majorTickMark val="out"/>
        <c:minorTickMark val="none"/>
        <c:tickLblPos val="nextTo"/>
        <c:crossAx val="-2052452512"/>
        <c:crosses val="autoZero"/>
        <c:auto val="1"/>
        <c:lblAlgn val="ctr"/>
        <c:lblOffset val="100"/>
        <c:noMultiLvlLbl val="0"/>
      </c:catAx>
      <c:valAx>
        <c:axId val="-2052452512"/>
        <c:scaling>
          <c:orientation val="minMax"/>
          <c:min val="0.5"/>
        </c:scaling>
        <c:delete val="0"/>
        <c:axPos val="l"/>
        <c:majorGridlines/>
        <c:numFmt formatCode="0%" sourceLinked="1"/>
        <c:majorTickMark val="out"/>
        <c:minorTickMark val="none"/>
        <c:tickLblPos val="nextTo"/>
        <c:crossAx val="-2052429120"/>
        <c:crosses val="autoZero"/>
        <c:crossBetween val="between"/>
      </c:valAx>
    </c:plotArea>
    <c:legend>
      <c:legendPos val="r"/>
      <c:overlay val="0"/>
    </c:legend>
    <c:plotVisOnly val="1"/>
    <c:dispBlanksAs val="gap"/>
    <c:showDLblsOverMax val="0"/>
  </c:chart>
  <c:txPr>
    <a:bodyPr/>
    <a:lstStyle/>
    <a:p>
      <a:pPr>
        <a:defRPr>
          <a:latin typeface="Arial" pitchFamily="34" charset="0"/>
          <a:cs typeface="Arial" pitchFamily="34"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Стратегия!$A$34</c:f>
              <c:strCache>
                <c:ptCount val="1"/>
                <c:pt idx="0">
                  <c:v>Приоритетные сектора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Стратегия!$K$32:$P$33</c:f>
              <c:multiLvlStrCache>
                <c:ptCount val="6"/>
                <c:lvl>
                  <c:pt idx="0">
                    <c:v>2010 г.</c:v>
                  </c:pt>
                  <c:pt idx="1">
                    <c:v>2020 г.</c:v>
                  </c:pt>
                  <c:pt idx="2">
                    <c:v>2010 г.</c:v>
                  </c:pt>
                  <c:pt idx="3">
                    <c:v>2020 г.</c:v>
                  </c:pt>
                  <c:pt idx="4">
                    <c:v>2010 г.</c:v>
                  </c:pt>
                  <c:pt idx="5">
                    <c:v>2020 г.</c:v>
                  </c:pt>
                </c:lvl>
                <c:lvl>
                  <c:pt idx="0">
                    <c:v>Субъекты ММСП</c:v>
                  </c:pt>
                  <c:pt idx="2">
                    <c:v>Юр.лица ММСП</c:v>
                  </c:pt>
                  <c:pt idx="4">
                    <c:v>ИП и КХ</c:v>
                  </c:pt>
                </c:lvl>
              </c:multiLvlStrCache>
            </c:multiLvlStrRef>
          </c:cat>
          <c:val>
            <c:numRef>
              <c:f>Стратегия!$K$34:$P$34</c:f>
              <c:numCache>
                <c:formatCode>0.0%</c:formatCode>
                <c:ptCount val="6"/>
                <c:pt idx="0">
                  <c:v>0.51200000000000001</c:v>
                </c:pt>
                <c:pt idx="1">
                  <c:v>0.54830871979812434</c:v>
                </c:pt>
                <c:pt idx="2">
                  <c:v>0.42399999999999999</c:v>
                </c:pt>
                <c:pt idx="3">
                  <c:v>0.44805883759389509</c:v>
                </c:pt>
                <c:pt idx="4">
                  <c:v>0.52200000000000002</c:v>
                </c:pt>
                <c:pt idx="5">
                  <c:v>0.58160240334032542</c:v>
                </c:pt>
              </c:numCache>
            </c:numRef>
          </c:val>
          <c:extLst>
            <c:ext xmlns:c16="http://schemas.microsoft.com/office/drawing/2014/chart" uri="{C3380CC4-5D6E-409C-BE32-E72D297353CC}">
              <c16:uniqueId val="{00000000-2AE7-48A4-A8F1-3245C30EA2C9}"/>
            </c:ext>
          </c:extLst>
        </c:ser>
        <c:ser>
          <c:idx val="1"/>
          <c:order val="1"/>
          <c:tx>
            <c:strRef>
              <c:f>Стратегия!$A$35</c:f>
              <c:strCache>
                <c:ptCount val="1"/>
                <c:pt idx="0">
                  <c:v>Прочие сектора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Стратегия!$K$32:$P$33</c:f>
              <c:multiLvlStrCache>
                <c:ptCount val="6"/>
                <c:lvl>
                  <c:pt idx="0">
                    <c:v>2010 г.</c:v>
                  </c:pt>
                  <c:pt idx="1">
                    <c:v>2020 г.</c:v>
                  </c:pt>
                  <c:pt idx="2">
                    <c:v>2010 г.</c:v>
                  </c:pt>
                  <c:pt idx="3">
                    <c:v>2020 г.</c:v>
                  </c:pt>
                  <c:pt idx="4">
                    <c:v>2010 г.</c:v>
                  </c:pt>
                  <c:pt idx="5">
                    <c:v>2020 г.</c:v>
                  </c:pt>
                </c:lvl>
                <c:lvl>
                  <c:pt idx="0">
                    <c:v>Субъекты ММСП</c:v>
                  </c:pt>
                  <c:pt idx="2">
                    <c:v>Юр.лица ММСП</c:v>
                  </c:pt>
                  <c:pt idx="4">
                    <c:v>ИП и КХ</c:v>
                  </c:pt>
                </c:lvl>
              </c:multiLvlStrCache>
            </c:multiLvlStrRef>
          </c:cat>
          <c:val>
            <c:numRef>
              <c:f>Стратегия!$K$35:$P$35</c:f>
              <c:numCache>
                <c:formatCode>0.0%</c:formatCode>
                <c:ptCount val="6"/>
                <c:pt idx="0">
                  <c:v>0.48799999999999999</c:v>
                </c:pt>
                <c:pt idx="1">
                  <c:v>0.45169128020187566</c:v>
                </c:pt>
                <c:pt idx="2">
                  <c:v>0.57599999999999996</c:v>
                </c:pt>
                <c:pt idx="3">
                  <c:v>0.55194116240610491</c:v>
                </c:pt>
                <c:pt idx="4">
                  <c:v>0.47799999999999998</c:v>
                </c:pt>
                <c:pt idx="5">
                  <c:v>0.41839759665967458</c:v>
                </c:pt>
              </c:numCache>
            </c:numRef>
          </c:val>
          <c:extLst>
            <c:ext xmlns:c16="http://schemas.microsoft.com/office/drawing/2014/chart" uri="{C3380CC4-5D6E-409C-BE32-E72D297353CC}">
              <c16:uniqueId val="{00000001-2AE7-48A4-A8F1-3245C30EA2C9}"/>
            </c:ext>
          </c:extLst>
        </c:ser>
        <c:dLbls>
          <c:showLegendKey val="0"/>
          <c:showVal val="0"/>
          <c:showCatName val="0"/>
          <c:showSerName val="0"/>
          <c:showPercent val="0"/>
          <c:showBubbleSize val="0"/>
        </c:dLbls>
        <c:gapWidth val="150"/>
        <c:overlap val="100"/>
        <c:axId val="-2052456320"/>
        <c:axId val="-2052443808"/>
      </c:barChart>
      <c:catAx>
        <c:axId val="-2052456320"/>
        <c:scaling>
          <c:orientation val="minMax"/>
        </c:scaling>
        <c:delete val="0"/>
        <c:axPos val="b"/>
        <c:numFmt formatCode="General" sourceLinked="0"/>
        <c:majorTickMark val="out"/>
        <c:minorTickMark val="none"/>
        <c:tickLblPos val="nextTo"/>
        <c:crossAx val="-2052443808"/>
        <c:crosses val="autoZero"/>
        <c:auto val="1"/>
        <c:lblAlgn val="ctr"/>
        <c:lblOffset val="100"/>
        <c:noMultiLvlLbl val="0"/>
      </c:catAx>
      <c:valAx>
        <c:axId val="-2052443808"/>
        <c:scaling>
          <c:orientation val="minMax"/>
        </c:scaling>
        <c:delete val="0"/>
        <c:axPos val="l"/>
        <c:majorGridlines/>
        <c:numFmt formatCode="0%" sourceLinked="1"/>
        <c:majorTickMark val="out"/>
        <c:minorTickMark val="none"/>
        <c:tickLblPos val="nextTo"/>
        <c:crossAx val="-2052456320"/>
        <c:crosses val="autoZero"/>
        <c:crossBetween val="between"/>
      </c:valAx>
    </c:plotArea>
    <c:legend>
      <c:legendPos val="r"/>
      <c:overlay val="0"/>
    </c:legend>
    <c:plotVisOnly val="1"/>
    <c:dispBlanksAs val="gap"/>
    <c:showDLblsOverMax val="0"/>
  </c:chart>
  <c:txPr>
    <a:bodyPr/>
    <a:lstStyle/>
    <a:p>
      <a:pPr>
        <a:defRPr>
          <a:latin typeface="Arial" pitchFamily="34" charset="0"/>
          <a:cs typeface="Arial" pitchFamily="34"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Стратегия!$A$60</c:f>
              <c:strCache>
                <c:ptCount val="1"/>
                <c:pt idx="0">
                  <c:v>Промышленность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Стратегия!$M$58:$R$59</c:f>
              <c:multiLvlStrCache>
                <c:ptCount val="6"/>
                <c:lvl>
                  <c:pt idx="0">
                    <c:v>2010 г.</c:v>
                  </c:pt>
                  <c:pt idx="1">
                    <c:v>2020 г.</c:v>
                  </c:pt>
                  <c:pt idx="2">
                    <c:v>2010 г.</c:v>
                  </c:pt>
                  <c:pt idx="3">
                    <c:v>2020 г.</c:v>
                  </c:pt>
                  <c:pt idx="4">
                    <c:v>2010 г.</c:v>
                  </c:pt>
                  <c:pt idx="5">
                    <c:v>2020 г.</c:v>
                  </c:pt>
                </c:lvl>
                <c:lvl>
                  <c:pt idx="0">
                    <c:v>Субъекты ММСП</c:v>
                  </c:pt>
                  <c:pt idx="2">
                    <c:v>Юр.лица ММСП</c:v>
                  </c:pt>
                  <c:pt idx="4">
                    <c:v>ИП и КХ</c:v>
                  </c:pt>
                </c:lvl>
              </c:multiLvlStrCache>
            </c:multiLvlStrRef>
          </c:cat>
          <c:val>
            <c:numRef>
              <c:f>Стратегия!$M$60:$R$60</c:f>
              <c:numCache>
                <c:formatCode>0.0%</c:formatCode>
                <c:ptCount val="6"/>
                <c:pt idx="0">
                  <c:v>2.8000000000000001E-2</c:v>
                </c:pt>
                <c:pt idx="1">
                  <c:v>4.4128641114290254E-2</c:v>
                </c:pt>
                <c:pt idx="2">
                  <c:v>0.104</c:v>
                </c:pt>
                <c:pt idx="3">
                  <c:v>7.9531869533164642E-2</c:v>
                </c:pt>
                <c:pt idx="4">
                  <c:v>1.9E-2</c:v>
                </c:pt>
                <c:pt idx="5">
                  <c:v>3.2370982577106064E-2</c:v>
                </c:pt>
              </c:numCache>
            </c:numRef>
          </c:val>
          <c:extLst>
            <c:ext xmlns:c16="http://schemas.microsoft.com/office/drawing/2014/chart" uri="{C3380CC4-5D6E-409C-BE32-E72D297353CC}">
              <c16:uniqueId val="{00000000-DB39-4B19-8488-0CA85D90CB19}"/>
            </c:ext>
          </c:extLst>
        </c:ser>
        <c:ser>
          <c:idx val="1"/>
          <c:order val="1"/>
          <c:tx>
            <c:strRef>
              <c:f>Стратегия!$A$61</c:f>
              <c:strCache>
                <c:ptCount val="1"/>
                <c:pt idx="0">
                  <c:v>Прочие сектора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Стратегия!$M$58:$R$59</c:f>
              <c:multiLvlStrCache>
                <c:ptCount val="6"/>
                <c:lvl>
                  <c:pt idx="0">
                    <c:v>2010 г.</c:v>
                  </c:pt>
                  <c:pt idx="1">
                    <c:v>2020 г.</c:v>
                  </c:pt>
                  <c:pt idx="2">
                    <c:v>2010 г.</c:v>
                  </c:pt>
                  <c:pt idx="3">
                    <c:v>2020 г.</c:v>
                  </c:pt>
                  <c:pt idx="4">
                    <c:v>2010 г.</c:v>
                  </c:pt>
                  <c:pt idx="5">
                    <c:v>2020 г.</c:v>
                  </c:pt>
                </c:lvl>
                <c:lvl>
                  <c:pt idx="0">
                    <c:v>Субъекты ММСП</c:v>
                  </c:pt>
                  <c:pt idx="2">
                    <c:v>Юр.лица ММСП</c:v>
                  </c:pt>
                  <c:pt idx="4">
                    <c:v>ИП и КХ</c:v>
                  </c:pt>
                </c:lvl>
              </c:multiLvlStrCache>
            </c:multiLvlStrRef>
          </c:cat>
          <c:val>
            <c:numRef>
              <c:f>Стратегия!$M$61:$R$61</c:f>
              <c:numCache>
                <c:formatCode>0.0%</c:formatCode>
                <c:ptCount val="6"/>
                <c:pt idx="0">
                  <c:v>0.97199999999999998</c:v>
                </c:pt>
                <c:pt idx="1">
                  <c:v>0.95587135888570973</c:v>
                </c:pt>
                <c:pt idx="2">
                  <c:v>0.89600000000000002</c:v>
                </c:pt>
                <c:pt idx="3">
                  <c:v>0.9204681304668354</c:v>
                </c:pt>
                <c:pt idx="4">
                  <c:v>0.98099999999999998</c:v>
                </c:pt>
                <c:pt idx="5">
                  <c:v>0.96762901742289398</c:v>
                </c:pt>
              </c:numCache>
            </c:numRef>
          </c:val>
          <c:extLst>
            <c:ext xmlns:c16="http://schemas.microsoft.com/office/drawing/2014/chart" uri="{C3380CC4-5D6E-409C-BE32-E72D297353CC}">
              <c16:uniqueId val="{00000001-DB39-4B19-8488-0CA85D90CB19}"/>
            </c:ext>
          </c:extLst>
        </c:ser>
        <c:dLbls>
          <c:showLegendKey val="0"/>
          <c:showVal val="0"/>
          <c:showCatName val="0"/>
          <c:showSerName val="0"/>
          <c:showPercent val="0"/>
          <c:showBubbleSize val="0"/>
        </c:dLbls>
        <c:gapWidth val="150"/>
        <c:overlap val="100"/>
        <c:axId val="-2052425856"/>
        <c:axId val="-2052439456"/>
      </c:barChart>
      <c:catAx>
        <c:axId val="-2052425856"/>
        <c:scaling>
          <c:orientation val="minMax"/>
        </c:scaling>
        <c:delete val="0"/>
        <c:axPos val="b"/>
        <c:numFmt formatCode="General" sourceLinked="0"/>
        <c:majorTickMark val="out"/>
        <c:minorTickMark val="none"/>
        <c:tickLblPos val="nextTo"/>
        <c:crossAx val="-2052439456"/>
        <c:crosses val="autoZero"/>
        <c:auto val="1"/>
        <c:lblAlgn val="ctr"/>
        <c:lblOffset val="100"/>
        <c:noMultiLvlLbl val="0"/>
      </c:catAx>
      <c:valAx>
        <c:axId val="-2052439456"/>
        <c:scaling>
          <c:orientation val="minMax"/>
          <c:max val="0.60000000000000009"/>
        </c:scaling>
        <c:delete val="0"/>
        <c:axPos val="l"/>
        <c:majorGridlines/>
        <c:numFmt formatCode="0%" sourceLinked="1"/>
        <c:majorTickMark val="out"/>
        <c:minorTickMark val="none"/>
        <c:tickLblPos val="nextTo"/>
        <c:crossAx val="-2052425856"/>
        <c:crosses val="autoZero"/>
        <c:crossBetween val="between"/>
      </c:valAx>
    </c:plotArea>
    <c:legend>
      <c:legendPos val="r"/>
      <c:overlay val="0"/>
    </c:legend>
    <c:plotVisOnly val="1"/>
    <c:dispBlanksAs val="gap"/>
    <c:showDLblsOverMax val="0"/>
  </c:chart>
  <c:txPr>
    <a:bodyPr/>
    <a:lstStyle/>
    <a:p>
      <a:pPr>
        <a:defRPr>
          <a:latin typeface="Arial" pitchFamily="34" charset="0"/>
          <a:cs typeface="Arial" pitchFamily="34" charset="0"/>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Стратегия!$A$89</c:f>
              <c:strCache>
                <c:ptCount val="1"/>
                <c:pt idx="0">
                  <c:v>Мужчины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Стратегия!$B$87:$G$88</c:f>
              <c:multiLvlStrCache>
                <c:ptCount val="6"/>
                <c:lvl>
                  <c:pt idx="0">
                    <c:v>2010 г.</c:v>
                  </c:pt>
                  <c:pt idx="1">
                    <c:v>2020 г.</c:v>
                  </c:pt>
                  <c:pt idx="2">
                    <c:v>2010 г.</c:v>
                  </c:pt>
                  <c:pt idx="3">
                    <c:v>2020 г.</c:v>
                  </c:pt>
                  <c:pt idx="4">
                    <c:v>2010 г.</c:v>
                  </c:pt>
                  <c:pt idx="5">
                    <c:v>2020 г.</c:v>
                  </c:pt>
                </c:lvl>
                <c:lvl>
                  <c:pt idx="0">
                    <c:v>Субъекты ММСП</c:v>
                  </c:pt>
                  <c:pt idx="2">
                    <c:v>Юр.лица ММСП</c:v>
                  </c:pt>
                  <c:pt idx="4">
                    <c:v>ИП и КХ</c:v>
                  </c:pt>
                </c:lvl>
              </c:multiLvlStrCache>
            </c:multiLvlStrRef>
          </c:cat>
          <c:val>
            <c:numRef>
              <c:f>Стратегия!$B$89:$G$89</c:f>
              <c:numCache>
                <c:formatCode>0.0%</c:formatCode>
                <c:ptCount val="6"/>
                <c:pt idx="0">
                  <c:v>0.61499999999999999</c:v>
                </c:pt>
                <c:pt idx="1">
                  <c:v>0.57699999999999996</c:v>
                </c:pt>
                <c:pt idx="2">
                  <c:v>0.755</c:v>
                </c:pt>
                <c:pt idx="3">
                  <c:v>0.73199999999999998</c:v>
                </c:pt>
                <c:pt idx="4">
                  <c:v>0.60199999999999998</c:v>
                </c:pt>
                <c:pt idx="5">
                  <c:v>0.52600000000000002</c:v>
                </c:pt>
              </c:numCache>
            </c:numRef>
          </c:val>
          <c:extLst>
            <c:ext xmlns:c16="http://schemas.microsoft.com/office/drawing/2014/chart" uri="{C3380CC4-5D6E-409C-BE32-E72D297353CC}">
              <c16:uniqueId val="{00000000-A832-4602-B6B3-9E39AA68BAF1}"/>
            </c:ext>
          </c:extLst>
        </c:ser>
        <c:ser>
          <c:idx val="1"/>
          <c:order val="1"/>
          <c:tx>
            <c:strRef>
              <c:f>Стратегия!$A$90</c:f>
              <c:strCache>
                <c:ptCount val="1"/>
                <c:pt idx="0">
                  <c:v>Женщины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Стратегия!$B$87:$G$88</c:f>
              <c:multiLvlStrCache>
                <c:ptCount val="6"/>
                <c:lvl>
                  <c:pt idx="0">
                    <c:v>2010 г.</c:v>
                  </c:pt>
                  <c:pt idx="1">
                    <c:v>2020 г.</c:v>
                  </c:pt>
                  <c:pt idx="2">
                    <c:v>2010 г.</c:v>
                  </c:pt>
                  <c:pt idx="3">
                    <c:v>2020 г.</c:v>
                  </c:pt>
                  <c:pt idx="4">
                    <c:v>2010 г.</c:v>
                  </c:pt>
                  <c:pt idx="5">
                    <c:v>2020 г.</c:v>
                  </c:pt>
                </c:lvl>
                <c:lvl>
                  <c:pt idx="0">
                    <c:v>Субъекты ММСП</c:v>
                  </c:pt>
                  <c:pt idx="2">
                    <c:v>Юр.лица ММСП</c:v>
                  </c:pt>
                  <c:pt idx="4">
                    <c:v>ИП и КХ</c:v>
                  </c:pt>
                </c:lvl>
              </c:multiLvlStrCache>
            </c:multiLvlStrRef>
          </c:cat>
          <c:val>
            <c:numRef>
              <c:f>Стратегия!$B$90:$G$90</c:f>
              <c:numCache>
                <c:formatCode>0.0%</c:formatCode>
                <c:ptCount val="6"/>
                <c:pt idx="0">
                  <c:v>0.38500000000000001</c:v>
                </c:pt>
                <c:pt idx="1">
                  <c:v>0.42299999999999999</c:v>
                </c:pt>
                <c:pt idx="2">
                  <c:v>0.245</c:v>
                </c:pt>
                <c:pt idx="3">
                  <c:v>0.26800000000000002</c:v>
                </c:pt>
                <c:pt idx="4">
                  <c:v>0.39800000000000002</c:v>
                </c:pt>
                <c:pt idx="5">
                  <c:v>0.47399999999999998</c:v>
                </c:pt>
              </c:numCache>
            </c:numRef>
          </c:val>
          <c:extLst>
            <c:ext xmlns:c16="http://schemas.microsoft.com/office/drawing/2014/chart" uri="{C3380CC4-5D6E-409C-BE32-E72D297353CC}">
              <c16:uniqueId val="{00000001-A832-4602-B6B3-9E39AA68BAF1}"/>
            </c:ext>
          </c:extLst>
        </c:ser>
        <c:dLbls>
          <c:showLegendKey val="0"/>
          <c:showVal val="0"/>
          <c:showCatName val="0"/>
          <c:showSerName val="0"/>
          <c:showPercent val="0"/>
          <c:showBubbleSize val="0"/>
        </c:dLbls>
        <c:gapWidth val="150"/>
        <c:overlap val="100"/>
        <c:axId val="-2052455776"/>
        <c:axId val="-2052454688"/>
      </c:barChart>
      <c:catAx>
        <c:axId val="-2052455776"/>
        <c:scaling>
          <c:orientation val="minMax"/>
        </c:scaling>
        <c:delete val="0"/>
        <c:axPos val="b"/>
        <c:numFmt formatCode="General" sourceLinked="0"/>
        <c:majorTickMark val="out"/>
        <c:minorTickMark val="none"/>
        <c:tickLblPos val="nextTo"/>
        <c:crossAx val="-2052454688"/>
        <c:crosses val="autoZero"/>
        <c:auto val="1"/>
        <c:lblAlgn val="ctr"/>
        <c:lblOffset val="100"/>
        <c:noMultiLvlLbl val="0"/>
      </c:catAx>
      <c:valAx>
        <c:axId val="-2052454688"/>
        <c:scaling>
          <c:orientation val="minMax"/>
          <c:min val="0.4"/>
        </c:scaling>
        <c:delete val="0"/>
        <c:axPos val="l"/>
        <c:majorGridlines/>
        <c:numFmt formatCode="0%" sourceLinked="1"/>
        <c:majorTickMark val="out"/>
        <c:minorTickMark val="none"/>
        <c:tickLblPos val="nextTo"/>
        <c:crossAx val="-2052455776"/>
        <c:crosses val="autoZero"/>
        <c:crossBetween val="between"/>
      </c:valAx>
    </c:plotArea>
    <c:legend>
      <c:legendPos val="r"/>
      <c:overlay val="0"/>
    </c:legend>
    <c:plotVisOnly val="1"/>
    <c:dispBlanksAs val="gap"/>
    <c:showDLblsOverMax val="0"/>
  </c:chart>
  <c:txPr>
    <a:bodyPr/>
    <a:lstStyle/>
    <a:p>
      <a:pPr>
        <a:defRPr>
          <a:latin typeface="Arial" pitchFamily="34" charset="0"/>
          <a:cs typeface="Arial" pitchFamily="34"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Лист1!$B$1981</c:f>
              <c:strCache>
                <c:ptCount val="1"/>
                <c:pt idx="0">
                  <c:v>Ставки по кредитам в рамках ПОР, %</c:v>
                </c:pt>
              </c:strCache>
            </c:strRef>
          </c:tx>
          <c:spPr>
            <a:ln>
              <a:solidFill>
                <a:srgbClr val="92D050"/>
              </a:solidFill>
            </a:ln>
          </c:spPr>
          <c:marker>
            <c:spPr>
              <a:solidFill>
                <a:srgbClr val="92D050"/>
              </a:solidFill>
              <a:ln>
                <a:solidFill>
                  <a:srgbClr val="92D050"/>
                </a:solid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Лист1!$A$1982:$A$1994</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Лист1!$B$1982:$B$1994</c:f>
              <c:numCache>
                <c:formatCode>#,##0.0</c:formatCode>
                <c:ptCount val="13"/>
                <c:pt idx="0">
                  <c:v>14.5</c:v>
                </c:pt>
                <c:pt idx="1">
                  <c:v>11.8</c:v>
                </c:pt>
                <c:pt idx="2">
                  <c:v>11.4</c:v>
                </c:pt>
                <c:pt idx="3">
                  <c:v>11</c:v>
                </c:pt>
                <c:pt idx="4">
                  <c:v>11</c:v>
                </c:pt>
                <c:pt idx="5">
                  <c:v>11</c:v>
                </c:pt>
                <c:pt idx="6">
                  <c:v>8.5</c:v>
                </c:pt>
                <c:pt idx="7">
                  <c:v>9.3000000000000007</c:v>
                </c:pt>
                <c:pt idx="8">
                  <c:v>13.3</c:v>
                </c:pt>
                <c:pt idx="9">
                  <c:v>11.3</c:v>
                </c:pt>
                <c:pt idx="10">
                  <c:v>11.3</c:v>
                </c:pt>
                <c:pt idx="11">
                  <c:v>10.49</c:v>
                </c:pt>
                <c:pt idx="12">
                  <c:v>10.59</c:v>
                </c:pt>
              </c:numCache>
            </c:numRef>
          </c:val>
          <c:smooth val="0"/>
          <c:extLst>
            <c:ext xmlns:c16="http://schemas.microsoft.com/office/drawing/2014/chart" uri="{C3380CC4-5D6E-409C-BE32-E72D297353CC}">
              <c16:uniqueId val="{00000000-3F47-4512-B1FE-025EE5A948A0}"/>
            </c:ext>
          </c:extLst>
        </c:ser>
        <c:ser>
          <c:idx val="1"/>
          <c:order val="1"/>
          <c:tx>
            <c:strRef>
              <c:f>Лист1!$C$1981</c:f>
              <c:strCache>
                <c:ptCount val="1"/>
                <c:pt idx="0">
                  <c:v>Рыночные ставки по кредитам малому предпринимательству, %</c:v>
                </c:pt>
              </c:strCache>
            </c:strRef>
          </c:tx>
          <c:spPr>
            <a:ln>
              <a:solidFill>
                <a:srgbClr val="00B0F0"/>
              </a:solidFill>
            </a:ln>
          </c:spPr>
          <c:marker>
            <c:spPr>
              <a:solidFill>
                <a:srgbClr val="00B0F0"/>
              </a:solidFill>
              <a:ln>
                <a:solidFill>
                  <a:srgbClr val="00B0F0"/>
                </a:solid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Лист1!$A$1982:$A$1994</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Лист1!$C$1982:$C$1994</c:f>
              <c:numCache>
                <c:formatCode>#,##0.0</c:formatCode>
                <c:ptCount val="13"/>
                <c:pt idx="0">
                  <c:v>15.7</c:v>
                </c:pt>
                <c:pt idx="1">
                  <c:v>14</c:v>
                </c:pt>
                <c:pt idx="2">
                  <c:v>13.3</c:v>
                </c:pt>
                <c:pt idx="3">
                  <c:v>12.5</c:v>
                </c:pt>
                <c:pt idx="4">
                  <c:v>12.1</c:v>
                </c:pt>
                <c:pt idx="5">
                  <c:v>12.7</c:v>
                </c:pt>
                <c:pt idx="6">
                  <c:v>11.5</c:v>
                </c:pt>
                <c:pt idx="7">
                  <c:v>12.9</c:v>
                </c:pt>
                <c:pt idx="8">
                  <c:v>14</c:v>
                </c:pt>
                <c:pt idx="9">
                  <c:v>15.1</c:v>
                </c:pt>
                <c:pt idx="10">
                  <c:v>14.1</c:v>
                </c:pt>
                <c:pt idx="11">
                  <c:v>12.7</c:v>
                </c:pt>
                <c:pt idx="12">
                  <c:v>11.6</c:v>
                </c:pt>
              </c:numCache>
            </c:numRef>
          </c:val>
          <c:smooth val="0"/>
          <c:extLst>
            <c:ext xmlns:c16="http://schemas.microsoft.com/office/drawing/2014/chart" uri="{C3380CC4-5D6E-409C-BE32-E72D297353CC}">
              <c16:uniqueId val="{00000001-3F47-4512-B1FE-025EE5A948A0}"/>
            </c:ext>
          </c:extLst>
        </c:ser>
        <c:dLbls>
          <c:dLblPos val="t"/>
          <c:showLegendKey val="0"/>
          <c:showVal val="1"/>
          <c:showCatName val="0"/>
          <c:showSerName val="0"/>
          <c:showPercent val="0"/>
          <c:showBubbleSize val="0"/>
        </c:dLbls>
        <c:marker val="1"/>
        <c:smooth val="0"/>
        <c:axId val="-2052442176"/>
        <c:axId val="-1397058016"/>
      </c:lineChart>
      <c:catAx>
        <c:axId val="-2052442176"/>
        <c:scaling>
          <c:orientation val="minMax"/>
        </c:scaling>
        <c:delete val="0"/>
        <c:axPos val="b"/>
        <c:numFmt formatCode="General" sourceLinked="1"/>
        <c:majorTickMark val="out"/>
        <c:minorTickMark val="none"/>
        <c:tickLblPos val="nextTo"/>
        <c:crossAx val="-1397058016"/>
        <c:crosses val="autoZero"/>
        <c:auto val="1"/>
        <c:lblAlgn val="ctr"/>
        <c:lblOffset val="100"/>
        <c:noMultiLvlLbl val="0"/>
      </c:catAx>
      <c:valAx>
        <c:axId val="-1397058016"/>
        <c:scaling>
          <c:orientation val="minMax"/>
          <c:max val="16"/>
          <c:min val="8"/>
        </c:scaling>
        <c:delete val="1"/>
        <c:axPos val="l"/>
        <c:numFmt formatCode="#,##0.0" sourceLinked="1"/>
        <c:majorTickMark val="out"/>
        <c:minorTickMark val="none"/>
        <c:tickLblPos val="nextTo"/>
        <c:crossAx val="-2052442176"/>
        <c:crosses val="autoZero"/>
        <c:crossBetween val="between"/>
      </c:valAx>
    </c:plotArea>
    <c:legend>
      <c:legendPos val="b"/>
      <c:overlay val="0"/>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54167-566D-4CA2-9C11-99A8C1CB6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53</Pages>
  <Words>22480</Words>
  <Characters>128138</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Стратегия развития акционерного общества «Фонд развития предпринимательства «Даму» на 2014-2023 годы (утверждена решением Совета директоров АО «Фонд развития предпринимательства «Даму», приложение № 5 к протоколу заседания Совета директоров от 3 июля 2017</vt:lpstr>
    </vt:vector>
  </TitlesOfParts>
  <Company/>
  <LinksUpToDate>false</LinksUpToDate>
  <CharactersWithSpaces>150318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развития акционерного общества «Фонд развития предпринимательства «Даму» на 2014-2023 годы (утверждена решением Совета директоров АО «Фонд развития предпринимательства «Даму», приложение № 5 к протоколу заседания Совета директоров от 3 июля 2017 года № 80) (©Paragraph 2022)</dc:title>
  <dc:subject/>
  <dc:creator>Сергей Мельников</dc:creator>
  <cp:keywords/>
  <dc:description/>
  <cp:lastModifiedBy>Маржан Закировна Халмурзаева</cp:lastModifiedBy>
  <cp:revision>744</cp:revision>
  <dcterms:created xsi:type="dcterms:W3CDTF">2022-05-24T07:04:00Z</dcterms:created>
  <dcterms:modified xsi:type="dcterms:W3CDTF">2022-07-18T06:14:00Z</dcterms:modified>
</cp:coreProperties>
</file>